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792AB7E5"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1C6BA0">
        <w:rPr>
          <w:rFonts w:ascii="Arial" w:eastAsia="Tahoma" w:hAnsi="Arial" w:cs="Arial"/>
          <w:b/>
          <w:bCs/>
          <w:kern w:val="0"/>
          <w:sz w:val="22"/>
          <w:szCs w:val="22"/>
        </w:rPr>
        <w:t>4</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0A3D5E">
        <w:rPr>
          <w:rFonts w:ascii="Arial" w:eastAsia="Tahoma" w:hAnsi="Arial" w:cs="Arial"/>
          <w:b/>
          <w:bCs/>
          <w:kern w:val="0"/>
          <w:sz w:val="22"/>
          <w:szCs w:val="22"/>
        </w:rPr>
        <w:t>2</w:t>
      </w:r>
      <w:r w:rsidR="001334F5">
        <w:rPr>
          <w:rFonts w:ascii="Arial" w:eastAsia="Tahoma" w:hAnsi="Arial" w:cs="Arial"/>
          <w:b/>
          <w:bCs/>
          <w:kern w:val="0"/>
          <w:sz w:val="22"/>
          <w:szCs w:val="22"/>
        </w:rPr>
        <w:t>3</w:t>
      </w:r>
      <w:r w:rsidR="001C6BA0">
        <w:rPr>
          <w:rFonts w:ascii="Arial" w:eastAsia="Tahoma" w:hAnsi="Arial" w:cs="Arial"/>
          <w:b/>
          <w:bCs/>
          <w:kern w:val="0"/>
          <w:sz w:val="22"/>
          <w:szCs w:val="22"/>
        </w:rPr>
        <w:t>1</w:t>
      </w:r>
      <w:r w:rsidR="000533A8" w:rsidRPr="000533A8">
        <w:rPr>
          <w:rFonts w:ascii="Arial" w:eastAsia="Tahoma" w:hAnsi="Arial" w:cs="Arial" w:hint="eastAsia"/>
          <w:b/>
          <w:bCs/>
          <w:kern w:val="0"/>
          <w:sz w:val="22"/>
          <w:szCs w:val="22"/>
        </w:rPr>
        <w:t>2580</w:t>
      </w:r>
    </w:p>
    <w:p w14:paraId="39EA01E6" w14:textId="6C35CBF6" w:rsidR="00541641" w:rsidRPr="00D8388D" w:rsidRDefault="001C6BA0" w:rsidP="00541641">
      <w:pPr>
        <w:widowControl/>
        <w:tabs>
          <w:tab w:val="left" w:pos="1979"/>
        </w:tabs>
        <w:spacing w:after="180"/>
        <w:jc w:val="left"/>
        <w:rPr>
          <w:rFonts w:ascii="Arial" w:eastAsia="Tahoma" w:hAnsi="Arial" w:cs="Arial"/>
          <w:b/>
          <w:bCs/>
          <w:kern w:val="0"/>
          <w:sz w:val="22"/>
          <w:szCs w:val="22"/>
        </w:rPr>
      </w:pPr>
      <w:r w:rsidRPr="001C6BA0">
        <w:rPr>
          <w:rFonts w:ascii="Arial" w:eastAsia="Tahoma" w:hAnsi="Arial" w:cs="Arial"/>
          <w:b/>
          <w:bCs/>
          <w:kern w:val="0"/>
          <w:sz w:val="22"/>
          <w:szCs w:val="22"/>
        </w:rPr>
        <w:t>Chicago, USA, 13</w:t>
      </w:r>
      <w:r w:rsidRPr="00594A61">
        <w:rPr>
          <w:rFonts w:ascii="Arial" w:eastAsia="Tahoma" w:hAnsi="Arial" w:cs="Arial"/>
          <w:b/>
          <w:bCs/>
          <w:kern w:val="0"/>
          <w:sz w:val="22"/>
          <w:szCs w:val="22"/>
          <w:vertAlign w:val="superscript"/>
        </w:rPr>
        <w:t>th</w:t>
      </w:r>
      <w:r w:rsidRPr="001C6BA0" w:rsidDel="00F94284">
        <w:rPr>
          <w:rFonts w:ascii="Arial" w:eastAsia="Tahoma" w:hAnsi="Arial" w:cs="Arial"/>
          <w:b/>
          <w:bCs/>
          <w:kern w:val="0"/>
          <w:sz w:val="22"/>
          <w:szCs w:val="22"/>
        </w:rPr>
        <w:t xml:space="preserve"> </w:t>
      </w:r>
      <w:r w:rsidRPr="001C6BA0">
        <w:rPr>
          <w:rFonts w:ascii="Arial" w:eastAsia="Tahoma" w:hAnsi="Arial" w:cs="Arial"/>
          <w:b/>
          <w:bCs/>
          <w:kern w:val="0"/>
          <w:sz w:val="22"/>
          <w:szCs w:val="22"/>
        </w:rPr>
        <w:t>– 17</w:t>
      </w:r>
      <w:r w:rsidRPr="00EC0509">
        <w:rPr>
          <w:rFonts w:ascii="Arial" w:eastAsia="Tahoma" w:hAnsi="Arial" w:cs="Arial"/>
          <w:b/>
          <w:bCs/>
          <w:kern w:val="0"/>
          <w:sz w:val="22"/>
          <w:szCs w:val="22"/>
          <w:vertAlign w:val="superscript"/>
        </w:rPr>
        <w:t>th</w:t>
      </w:r>
      <w:r w:rsidRPr="001C6BA0" w:rsidDel="001544EE">
        <w:rPr>
          <w:rFonts w:ascii="Arial" w:eastAsia="Tahoma" w:hAnsi="Arial" w:cs="Arial"/>
          <w:b/>
          <w:bCs/>
          <w:kern w:val="0"/>
          <w:sz w:val="22"/>
          <w:szCs w:val="22"/>
        </w:rPr>
        <w:t xml:space="preserve"> </w:t>
      </w:r>
      <w:r w:rsidR="00EC0509" w:rsidRPr="00EC0509">
        <w:rPr>
          <w:rFonts w:ascii="Arial" w:eastAsia="Tahoma" w:hAnsi="Arial" w:cs="Arial"/>
          <w:b/>
          <w:bCs/>
          <w:kern w:val="0"/>
          <w:sz w:val="22"/>
          <w:szCs w:val="22"/>
        </w:rPr>
        <w:t>Nov</w:t>
      </w:r>
      <w:r w:rsidRPr="001C6BA0">
        <w:rPr>
          <w:rFonts w:ascii="Arial" w:eastAsia="Tahoma" w:hAnsi="Arial" w:cs="Arial"/>
          <w:b/>
          <w:bCs/>
          <w:kern w:val="0"/>
          <w:sz w:val="22"/>
          <w:szCs w:val="22"/>
        </w:rPr>
        <w:t>, 2023</w:t>
      </w:r>
    </w:p>
    <w:p w14:paraId="3E4B2BCF" w14:textId="77777777" w:rsidR="00CE02C1" w:rsidRDefault="00CE02C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05C3A986"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5E0604">
        <w:rPr>
          <w:rFonts w:ascii="Arial" w:eastAsia="宋体" w:hAnsi="Arial" w:cs="Times New Roman"/>
          <w:b/>
          <w:kern w:val="0"/>
          <w:sz w:val="22"/>
          <w:szCs w:val="22"/>
        </w:rPr>
        <w:t>7</w:t>
      </w:r>
      <w:r w:rsidR="008964AB">
        <w:rPr>
          <w:rFonts w:ascii="Arial" w:eastAsia="宋体" w:hAnsi="Arial" w:cs="Times New Roman"/>
          <w:b/>
          <w:kern w:val="0"/>
          <w:sz w:val="22"/>
          <w:szCs w:val="22"/>
        </w:rPr>
        <w:t>.3.</w:t>
      </w:r>
      <w:r w:rsidR="005E0604">
        <w:rPr>
          <w:rFonts w:ascii="Arial" w:eastAsia="宋体" w:hAnsi="Arial" w:cs="Times New Roman"/>
          <w:b/>
          <w:kern w:val="0"/>
          <w:sz w:val="22"/>
          <w:szCs w:val="22"/>
        </w:rPr>
        <w:t>3</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6872E7AF"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BA2EDA" w:rsidRPr="00BA2EDA">
        <w:rPr>
          <w:rFonts w:ascii="Arial" w:eastAsia="宋体" w:hAnsi="Arial" w:cs="Times New Roman"/>
          <w:b/>
          <w:kern w:val="0"/>
          <w:sz w:val="22"/>
          <w:szCs w:val="22"/>
        </w:rPr>
        <w:t xml:space="preserve">RAN2 impact </w:t>
      </w:r>
      <w:r w:rsidR="005E0604">
        <w:rPr>
          <w:rFonts w:ascii="Arial" w:eastAsia="宋体" w:hAnsi="Arial" w:cs="Times New Roman"/>
          <w:b/>
          <w:kern w:val="0"/>
          <w:sz w:val="22"/>
          <w:szCs w:val="22"/>
        </w:rPr>
        <w:t>on supporting</w:t>
      </w:r>
      <w:r w:rsidR="00BA2EDA" w:rsidRPr="00BA2EDA">
        <w:rPr>
          <w:rFonts w:ascii="Arial" w:eastAsia="宋体" w:hAnsi="Arial" w:cs="Times New Roman"/>
          <w:b/>
          <w:kern w:val="0"/>
          <w:sz w:val="22"/>
          <w:szCs w:val="22"/>
        </w:rPr>
        <w:t xml:space="preserve"> inter-band SSB-less S</w:t>
      </w:r>
      <w:r w:rsidR="00B26D23">
        <w:rPr>
          <w:rFonts w:ascii="Arial" w:eastAsia="宋体" w:hAnsi="Arial" w:cs="Times New Roman"/>
          <w:b/>
          <w:kern w:val="0"/>
          <w:sz w:val="22"/>
          <w:szCs w:val="22"/>
        </w:rPr>
        <w:t>C</w:t>
      </w:r>
      <w:r w:rsidR="00BA2EDA" w:rsidRPr="00BA2EDA">
        <w:rPr>
          <w:rFonts w:ascii="Arial" w:eastAsia="宋体" w:hAnsi="Arial" w:cs="Times New Roman"/>
          <w:b/>
          <w:kern w:val="0"/>
          <w:sz w:val="22"/>
          <w:szCs w:val="22"/>
        </w:rPr>
        <w:t>ell operation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79BE3F07" w14:textId="79E7E3E4" w:rsidR="00FF6FD6" w:rsidRDefault="00323BF5" w:rsidP="00FF6FD6">
      <w:pPr>
        <w:spacing w:afterLines="50" w:after="156"/>
        <w:rPr>
          <w:rFonts w:eastAsia="宋体"/>
        </w:rPr>
      </w:pPr>
      <w:bookmarkStart w:id="7" w:name="_Hlk85390381"/>
      <w:bookmarkStart w:id="8" w:name="_Hlk92533704"/>
      <w:r>
        <w:rPr>
          <w:rFonts w:eastAsia="宋体"/>
          <w:szCs w:val="20"/>
        </w:rPr>
        <w:t>So far, RAN2 has</w:t>
      </w:r>
      <w:r w:rsidRPr="0013270C">
        <w:rPr>
          <w:rFonts w:eastAsia="宋体"/>
          <w:szCs w:val="20"/>
        </w:rPr>
        <w:t xml:space="preserve"> reached </w:t>
      </w:r>
      <w:r>
        <w:rPr>
          <w:rFonts w:eastAsia="宋体"/>
          <w:szCs w:val="20"/>
        </w:rPr>
        <w:t>the following</w:t>
      </w:r>
      <w:r w:rsidRPr="0013270C">
        <w:rPr>
          <w:rFonts w:eastAsia="宋体"/>
          <w:szCs w:val="20"/>
        </w:rPr>
        <w:t xml:space="preserve"> agreements</w:t>
      </w:r>
      <w:r w:rsidRPr="00BB08D8">
        <w:rPr>
          <w:rFonts w:eastAsia="宋体"/>
          <w:szCs w:val="20"/>
        </w:rPr>
        <w:t xml:space="preserve"> </w:t>
      </w:r>
      <w:r>
        <w:rPr>
          <w:rFonts w:eastAsia="宋体"/>
          <w:szCs w:val="20"/>
        </w:rPr>
        <w:t>related to</w:t>
      </w:r>
      <w:r>
        <w:rPr>
          <w:rFonts w:eastAsia="宋体"/>
          <w:szCs w:val="20"/>
        </w:rPr>
        <w:t xml:space="preserve"> inter-band SSB-less S</w:t>
      </w:r>
      <w:r w:rsidR="00AF252B">
        <w:rPr>
          <w:rFonts w:eastAsia="宋体" w:hint="eastAsia"/>
          <w:szCs w:val="20"/>
        </w:rPr>
        <w:t>C</w:t>
      </w:r>
      <w:r>
        <w:rPr>
          <w:rFonts w:eastAsia="宋体"/>
          <w:szCs w:val="20"/>
        </w:rPr>
        <w:t>ell operation</w:t>
      </w:r>
      <w:r w:rsidR="005D4125">
        <w:rPr>
          <w:rFonts w:eastAsia="宋体"/>
          <w:szCs w:val="20"/>
        </w:rPr>
        <w:t xml:space="preserve"> [1]</w:t>
      </w:r>
      <w:r w:rsidR="00787D5C">
        <w:rPr>
          <w:rFonts w:eastAsia="宋体"/>
        </w:rPr>
        <w:t>:</w:t>
      </w:r>
    </w:p>
    <w:p w14:paraId="26ABC901" w14:textId="77777777" w:rsidR="00323BF5" w:rsidRDefault="00323BF5" w:rsidP="00323BF5">
      <w:pPr>
        <w:pStyle w:val="Doc-text2"/>
        <w:numPr>
          <w:ilvl w:val="0"/>
          <w:numId w:val="39"/>
        </w:numPr>
        <w:pBdr>
          <w:top w:val="single" w:sz="4" w:space="1" w:color="auto"/>
          <w:left w:val="single" w:sz="4" w:space="6" w:color="auto"/>
          <w:bottom w:val="single" w:sz="4" w:space="1" w:color="auto"/>
          <w:right w:val="single" w:sz="4" w:space="4" w:color="auto"/>
        </w:pBdr>
      </w:pPr>
      <w:r>
        <w:t>If RAN4 conclude SSB-less SCell for inter-band CA for FR1 and co-located cells is feasible, the signaling of intra-band CA (including RRC change on timing of SSB-less SCell and capability signaling) can be considered as its baseline. Whether other new signaling is required depends on RAN4 input.</w:t>
      </w:r>
    </w:p>
    <w:p w14:paraId="274AE06A" w14:textId="77777777" w:rsidR="00323BF5" w:rsidRDefault="00323BF5" w:rsidP="00323BF5">
      <w:pPr>
        <w:pStyle w:val="Doc-text2"/>
        <w:numPr>
          <w:ilvl w:val="0"/>
          <w:numId w:val="39"/>
        </w:numPr>
        <w:pBdr>
          <w:top w:val="single" w:sz="4" w:space="1" w:color="auto"/>
          <w:left w:val="single" w:sz="4" w:space="6" w:color="auto"/>
          <w:bottom w:val="single" w:sz="4" w:space="1" w:color="auto"/>
          <w:right w:val="single" w:sz="4" w:space="4" w:color="auto"/>
        </w:pBdr>
      </w:pPr>
      <w:r>
        <w:t>If RAN4 concludes it is feasible, RAN2 can further work on at leaest the following specification impacts:</w:t>
      </w:r>
    </w:p>
    <w:p w14:paraId="7E900D0F" w14:textId="77777777" w:rsidR="00323BF5" w:rsidRPr="00323BF5" w:rsidRDefault="00323BF5" w:rsidP="00323BF5">
      <w:pPr>
        <w:pStyle w:val="Doc-text2"/>
        <w:numPr>
          <w:ilvl w:val="0"/>
          <w:numId w:val="40"/>
        </w:numPr>
        <w:pBdr>
          <w:top w:val="single" w:sz="4" w:space="1" w:color="auto"/>
          <w:left w:val="single" w:sz="4" w:space="6" w:color="auto"/>
          <w:bottom w:val="single" w:sz="4" w:space="1" w:color="auto"/>
          <w:right w:val="single" w:sz="4" w:space="4" w:color="auto"/>
        </w:pBdr>
      </w:pPr>
      <w:r w:rsidRPr="00323BF5">
        <w:t>RRC configuration of the frequency of the SSB to be used for the UE to obtain the timing reference for the inter-band SCell.</w:t>
      </w:r>
      <w:bookmarkStart w:id="9" w:name="_GoBack"/>
      <w:bookmarkEnd w:id="9"/>
    </w:p>
    <w:p w14:paraId="08E2248F" w14:textId="567568DC" w:rsidR="00323BF5" w:rsidRPr="00323BF5" w:rsidRDefault="00323BF5" w:rsidP="00323BF5">
      <w:pPr>
        <w:pStyle w:val="Doc-text2"/>
        <w:numPr>
          <w:ilvl w:val="0"/>
          <w:numId w:val="40"/>
        </w:numPr>
        <w:pBdr>
          <w:top w:val="single" w:sz="4" w:space="1" w:color="auto"/>
          <w:left w:val="single" w:sz="4" w:space="6" w:color="auto"/>
          <w:bottom w:val="single" w:sz="4" w:space="1" w:color="auto"/>
          <w:right w:val="single" w:sz="4" w:space="4" w:color="auto"/>
        </w:pBdr>
        <w:rPr>
          <w:rFonts w:hint="eastAsia"/>
        </w:rPr>
      </w:pPr>
      <w:r>
        <w:tab/>
        <w:t>UE capability reporting to indicate whether UE supports configuration of inter-band SCell that does not transmit SS/PBCH block.</w:t>
      </w:r>
    </w:p>
    <w:bookmarkEnd w:id="7"/>
    <w:bookmarkEnd w:id="8"/>
    <w:p w14:paraId="1DEA9977" w14:textId="4A778642" w:rsidR="005D4125" w:rsidRDefault="005D4125" w:rsidP="00545549">
      <w:pPr>
        <w:spacing w:before="120"/>
        <w:rPr>
          <w:rFonts w:eastAsia="宋体"/>
        </w:rPr>
      </w:pPr>
      <w:r>
        <w:rPr>
          <w:rFonts w:eastAsia="宋体"/>
          <w:bCs/>
          <w:szCs w:val="20"/>
          <w:lang w:val="en-GB"/>
        </w:rPr>
        <w:t xml:space="preserve">In the RAN4#108bis meeting, </w:t>
      </w:r>
      <w:r w:rsidRPr="00B57A81">
        <w:rPr>
          <w:rFonts w:eastAsia="宋体"/>
        </w:rPr>
        <w:t xml:space="preserve">RAN4 </w:t>
      </w:r>
      <w:r>
        <w:rPr>
          <w:rFonts w:eastAsia="宋体"/>
        </w:rPr>
        <w:t xml:space="preserve">sends </w:t>
      </w:r>
      <w:proofErr w:type="gramStart"/>
      <w:r>
        <w:rPr>
          <w:rFonts w:eastAsia="宋体" w:hint="eastAsia"/>
        </w:rPr>
        <w:t>a</w:t>
      </w:r>
      <w:r w:rsidR="002C224D">
        <w:rPr>
          <w:rFonts w:eastAsia="宋体"/>
        </w:rPr>
        <w:t>n</w:t>
      </w:r>
      <w:proofErr w:type="gramEnd"/>
      <w:r>
        <w:rPr>
          <w:rFonts w:eastAsia="宋体"/>
        </w:rPr>
        <w:t xml:space="preserve"> LS and </w:t>
      </w:r>
      <w:r w:rsidRPr="00B57A81">
        <w:rPr>
          <w:rFonts w:eastAsia="宋体"/>
        </w:rPr>
        <w:t xml:space="preserve">asks RAN2 to take RAN4 agreements </w:t>
      </w:r>
      <w:r>
        <w:rPr>
          <w:rFonts w:eastAsia="宋体"/>
        </w:rPr>
        <w:t>in [</w:t>
      </w:r>
      <w:r w:rsidR="00834B93">
        <w:rPr>
          <w:rFonts w:eastAsia="宋体"/>
        </w:rPr>
        <w:t>2</w:t>
      </w:r>
      <w:r>
        <w:rPr>
          <w:rFonts w:eastAsia="宋体"/>
        </w:rPr>
        <w:t xml:space="preserve">] into account </w:t>
      </w:r>
      <w:r w:rsidRPr="00B57A81">
        <w:rPr>
          <w:rFonts w:eastAsia="宋体"/>
        </w:rPr>
        <w:t xml:space="preserve">and </w:t>
      </w:r>
      <w:r w:rsidR="00594A61" w:rsidRPr="00594A61">
        <w:rPr>
          <w:rFonts w:eastAsia="宋体"/>
        </w:rPr>
        <w:t>design corresponding signaling</w:t>
      </w:r>
      <w:r>
        <w:rPr>
          <w:rFonts w:eastAsia="宋体"/>
        </w:rPr>
        <w:t xml:space="preserve">. </w:t>
      </w:r>
      <w:r w:rsidRPr="00594A61">
        <w:rPr>
          <w:rFonts w:eastAsia="宋体"/>
        </w:rPr>
        <w:t>I</w:t>
      </w:r>
      <w:r>
        <w:rPr>
          <w:rFonts w:eastAsia="宋体"/>
          <w:szCs w:val="20"/>
        </w:rPr>
        <w:t>n t</w:t>
      </w:r>
      <w:r w:rsidRPr="000B72A5">
        <w:rPr>
          <w:rFonts w:eastAsia="宋体"/>
          <w:szCs w:val="20"/>
        </w:rPr>
        <w:t>his contribution</w:t>
      </w:r>
      <w:r>
        <w:rPr>
          <w:rFonts w:eastAsia="宋体"/>
          <w:szCs w:val="20"/>
        </w:rPr>
        <w:t>, we will</w:t>
      </w:r>
      <w:r w:rsidRPr="000B72A5">
        <w:rPr>
          <w:rFonts w:eastAsia="宋体"/>
          <w:szCs w:val="20"/>
        </w:rPr>
        <w:t xml:space="preserve"> further</w:t>
      </w:r>
      <w:r w:rsidRPr="0013270C">
        <w:rPr>
          <w:rFonts w:eastAsia="宋体"/>
          <w:szCs w:val="20"/>
        </w:rPr>
        <w:t xml:space="preserve"> discuss the issue</w:t>
      </w:r>
      <w:r>
        <w:rPr>
          <w:rFonts w:eastAsia="宋体"/>
          <w:szCs w:val="20"/>
        </w:rPr>
        <w:t xml:space="preserve"> based on the LS</w:t>
      </w:r>
      <w:r>
        <w:rPr>
          <w:color w:val="000000"/>
          <w:lang w:eastAsia="ko-KR"/>
        </w:rPr>
        <w:t xml:space="preserve"> </w:t>
      </w:r>
      <w:r w:rsidR="00567DAC">
        <w:rPr>
          <w:color w:val="000000"/>
          <w:lang w:eastAsia="ko-KR"/>
        </w:rPr>
        <w:t>from</w:t>
      </w:r>
      <w:r>
        <w:rPr>
          <w:color w:val="000000"/>
          <w:lang w:eastAsia="ko-KR"/>
        </w:rPr>
        <w:t xml:space="preserve"> RAN4.</w:t>
      </w:r>
    </w:p>
    <w:p w14:paraId="2F96FEB6" w14:textId="77777777" w:rsidR="00541641" w:rsidRPr="00787D5C" w:rsidRDefault="00541641" w:rsidP="00DA7A3C">
      <w:pPr>
        <w:pBdr>
          <w:bottom w:val="single" w:sz="12" w:space="1" w:color="auto"/>
        </w:pBdr>
        <w:spacing w:after="180"/>
      </w:pPr>
    </w:p>
    <w:p w14:paraId="02B2C62E" w14:textId="31592399" w:rsidR="00AC5643" w:rsidRDefault="00541641" w:rsidP="00AC5643">
      <w:pPr>
        <w:pStyle w:val="1"/>
      </w:pPr>
      <w:r>
        <w:t>Discussion</w:t>
      </w:r>
    </w:p>
    <w:p w14:paraId="73AF7497" w14:textId="77777777" w:rsidR="00D46290" w:rsidRPr="00D46290" w:rsidRDefault="00D46290" w:rsidP="00E02991">
      <w:pPr>
        <w:spacing w:before="120" w:after="180"/>
        <w:rPr>
          <w:rFonts w:hint="eastAsia"/>
        </w:rPr>
      </w:pPr>
      <w:r>
        <w:rPr>
          <w:rFonts w:hint="eastAsia"/>
        </w:rPr>
        <w:t>L</w:t>
      </w:r>
      <w:r>
        <w:t xml:space="preserve">S from RAN4#108bis meeting </w:t>
      </w:r>
      <w:r>
        <w:rPr>
          <w:rFonts w:eastAsia="宋体"/>
        </w:rPr>
        <w:t>[2]</w:t>
      </w:r>
      <w:r>
        <w:t>:</w:t>
      </w:r>
    </w:p>
    <w:tbl>
      <w:tblPr>
        <w:tblStyle w:val="a7"/>
        <w:tblW w:w="0" w:type="auto"/>
        <w:tblLook w:val="04A0" w:firstRow="1" w:lastRow="0" w:firstColumn="1" w:lastColumn="0" w:noHBand="0" w:noVBand="1"/>
      </w:tblPr>
      <w:tblGrid>
        <w:gridCol w:w="9060"/>
      </w:tblGrid>
      <w:tr w:rsidR="00D46290" w14:paraId="3380EB01" w14:textId="77777777" w:rsidTr="00066822">
        <w:tc>
          <w:tcPr>
            <w:tcW w:w="9060" w:type="dxa"/>
          </w:tcPr>
          <w:p w14:paraId="2D18C762" w14:textId="21BCEEC5" w:rsidR="00D46290" w:rsidRPr="00F03D03" w:rsidRDefault="00D46290" w:rsidP="00066822">
            <w:pPr>
              <w:spacing w:after="120"/>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network energy saving, to enable SSB-less SCell operation,</w:t>
            </w:r>
            <w:r w:rsidRPr="005619FF">
              <w:rPr>
                <w:rFonts w:ascii="Arial" w:hAnsi="Arial" w:cs="Arial"/>
              </w:rPr>
              <w:t xml:space="preserve"> </w:t>
            </w:r>
            <w:r w:rsidRPr="00D46290">
              <w:rPr>
                <w:rFonts w:ascii="Arial" w:hAnsi="Arial" w:cs="Arial"/>
                <w:highlight w:val="yellow"/>
              </w:rPr>
              <w:t xml:space="preserve">RAN4 </w:t>
            </w:r>
            <w:r w:rsidRPr="00D46290">
              <w:rPr>
                <w:rFonts w:ascii="Arial" w:hAnsi="Arial" w:cs="Arial" w:hint="eastAsia"/>
                <w:highlight w:val="yellow"/>
              </w:rPr>
              <w:t>agree</w:t>
            </w:r>
            <w:r w:rsidRPr="00D46290">
              <w:rPr>
                <w:rFonts w:ascii="Arial" w:hAnsi="Arial" w:cs="Arial"/>
                <w:highlight w:val="yellow"/>
              </w:rPr>
              <w:t>s to introduce indication from NW to UE to indicate which cell (e.g., PCI, SSB frequency, etc.) is the reference cell.</w:t>
            </w:r>
            <w:r>
              <w:rPr>
                <w:rFonts w:ascii="Arial" w:hAnsi="Arial" w:cs="Arial"/>
              </w:rPr>
              <w:t xml:space="preserve"> </w:t>
            </w:r>
            <w:r w:rsidRPr="00F03D03">
              <w:rPr>
                <w:rFonts w:ascii="Arial" w:hAnsi="Arial" w:cs="Arial"/>
              </w:rPr>
              <w:t>RAN4 will define “by default cell” as reference cell if the indication is not provided</w:t>
            </w:r>
            <w:r>
              <w:rPr>
                <w:rFonts w:ascii="Arial" w:hAnsi="Arial" w:cs="Arial"/>
              </w:rPr>
              <w:t xml:space="preserve">, </w:t>
            </w:r>
            <w:proofErr w:type="gramStart"/>
            <w:r>
              <w:rPr>
                <w:rFonts w:ascii="Arial" w:hAnsi="Arial" w:cs="Arial"/>
              </w:rPr>
              <w:t>The</w:t>
            </w:r>
            <w:proofErr w:type="gramEnd"/>
            <w:r>
              <w:rPr>
                <w:rFonts w:ascii="Arial" w:hAnsi="Arial" w:cs="Arial"/>
              </w:rPr>
              <w:t xml:space="preserve"> r</w:t>
            </w:r>
            <w:r w:rsidRPr="00F03D03">
              <w:rPr>
                <w:rFonts w:ascii="Arial" w:hAnsi="Arial" w:cs="Arial"/>
              </w:rPr>
              <w:t>eference cell means</w:t>
            </w:r>
            <w:r>
              <w:rPr>
                <w:rFonts w:ascii="Arial" w:hAnsi="Arial" w:cs="Arial"/>
              </w:rPr>
              <w:t xml:space="preserve"> it is</w:t>
            </w:r>
            <w:r w:rsidRPr="00F03D03">
              <w:rPr>
                <w:rFonts w:ascii="Arial" w:hAnsi="Arial" w:cs="Arial"/>
              </w:rPr>
              <w:t xml:space="preserve"> the timing </w:t>
            </w:r>
            <w:r>
              <w:rPr>
                <w:rFonts w:ascii="Arial" w:hAnsi="Arial" w:cs="Arial"/>
              </w:rPr>
              <w:t xml:space="preserve">reference </w:t>
            </w:r>
            <w:r w:rsidRPr="00F03D03">
              <w:rPr>
                <w:rFonts w:ascii="Arial" w:hAnsi="Arial" w:cs="Arial"/>
              </w:rPr>
              <w:t xml:space="preserve">and AGC source of SSB-less </w:t>
            </w:r>
            <w:r>
              <w:rPr>
                <w:rFonts w:ascii="Arial" w:hAnsi="Arial" w:cs="Arial"/>
              </w:rPr>
              <w:t>S</w:t>
            </w:r>
            <w:r w:rsidRPr="00F03D03">
              <w:rPr>
                <w:rFonts w:ascii="Arial" w:hAnsi="Arial" w:cs="Arial"/>
              </w:rPr>
              <w:t>Cell.</w:t>
            </w:r>
            <w:r w:rsidRPr="00F03D03">
              <w:t xml:space="preserve"> </w:t>
            </w:r>
            <w:r w:rsidRPr="00F03D03">
              <w:rPr>
                <w:rFonts w:ascii="Arial" w:hAnsi="Arial" w:cs="Arial"/>
              </w:rPr>
              <w:t xml:space="preserve">If </w:t>
            </w:r>
            <w:bookmarkStart w:id="10" w:name="OLE_LINK21"/>
            <w:bookmarkStart w:id="11" w:name="OLE_LINK22"/>
            <w:r w:rsidRPr="00F03D03">
              <w:rPr>
                <w:rFonts w:ascii="Arial" w:hAnsi="Arial" w:cs="Arial"/>
              </w:rPr>
              <w:t>the reference cell is an SCell</w:t>
            </w:r>
            <w:r>
              <w:rPr>
                <w:rFonts w:ascii="Arial" w:hAnsi="Arial" w:cs="Arial"/>
              </w:rPr>
              <w:t xml:space="preserve"> or PSCell</w:t>
            </w:r>
            <w:r w:rsidRPr="00F03D03">
              <w:rPr>
                <w:rFonts w:ascii="Arial" w:hAnsi="Arial" w:cs="Arial"/>
              </w:rPr>
              <w:t xml:space="preserve">, it should be </w:t>
            </w:r>
            <w:r>
              <w:rPr>
                <w:rFonts w:ascii="Arial" w:hAnsi="Arial" w:cs="Arial"/>
              </w:rPr>
              <w:t xml:space="preserve">an </w:t>
            </w:r>
            <w:r w:rsidRPr="00F03D03">
              <w:rPr>
                <w:rFonts w:ascii="Arial" w:hAnsi="Arial" w:cs="Arial"/>
              </w:rPr>
              <w:t>activated</w:t>
            </w:r>
            <w:r>
              <w:rPr>
                <w:rFonts w:ascii="Arial" w:hAnsi="Arial" w:cs="Arial"/>
              </w:rPr>
              <w:t xml:space="preserve"> SCell or activated PSCell</w:t>
            </w:r>
            <w:r w:rsidRPr="00F03D03">
              <w:rPr>
                <w:rFonts w:ascii="Arial" w:hAnsi="Arial" w:cs="Arial"/>
              </w:rPr>
              <w:t>.</w:t>
            </w:r>
            <w:bookmarkEnd w:id="10"/>
            <w:bookmarkEnd w:id="11"/>
            <w:r w:rsidRPr="00F03D03">
              <w:t xml:space="preserve"> </w:t>
            </w:r>
            <w:r w:rsidRPr="00790964">
              <w:rPr>
                <w:rFonts w:ascii="Arial" w:hAnsi="Arial" w:cs="Arial"/>
              </w:rPr>
              <w:t xml:space="preserve">The details of the signalling </w:t>
            </w:r>
            <w:r>
              <w:rPr>
                <w:rFonts w:ascii="Arial" w:hAnsi="Arial" w:cs="Arial"/>
              </w:rPr>
              <w:t>are</w:t>
            </w:r>
            <w:r w:rsidRPr="00790964">
              <w:rPr>
                <w:rFonts w:ascii="Arial" w:hAnsi="Arial" w:cs="Arial"/>
              </w:rPr>
              <w:t xml:space="preserve"> up to RAN2.</w:t>
            </w:r>
          </w:p>
          <w:p w14:paraId="2AA5BE43" w14:textId="77777777" w:rsidR="00D46290" w:rsidRPr="00D46290" w:rsidRDefault="00D46290" w:rsidP="00066822">
            <w:pPr>
              <w:spacing w:after="120"/>
              <w:rPr>
                <w:rFonts w:ascii="Arial" w:hAnsi="Arial" w:cs="Arial" w:hint="eastAsia"/>
              </w:rPr>
            </w:pPr>
            <w:r>
              <w:rPr>
                <w:rFonts w:ascii="Arial" w:hAnsi="Arial" w:cs="Arial"/>
              </w:rPr>
              <w:t xml:space="preserve">RAN4 also has agreement on SSB-less SCell. </w:t>
            </w:r>
            <w:r w:rsidRPr="00D46290">
              <w:rPr>
                <w:rFonts w:ascii="Arial" w:hAnsi="Arial" w:cs="Arial"/>
                <w:highlight w:val="yellow"/>
              </w:rPr>
              <w:t>If the UE is not provided with SSB configuration (absoluteFrequencySSB) in the SCell (FrequencyInfoDL) nor SMTC configuration for the SCell, this cell is regarded as SSB-less SCell.</w:t>
            </w:r>
          </w:p>
        </w:tc>
      </w:tr>
    </w:tbl>
    <w:p w14:paraId="5DF832AD" w14:textId="54102DAF" w:rsidR="003D79D8" w:rsidRDefault="00D46290" w:rsidP="00E02991">
      <w:pPr>
        <w:spacing w:before="120" w:after="180"/>
        <w:rPr>
          <w:rFonts w:hint="eastAsia"/>
        </w:rPr>
      </w:pPr>
      <w:r w:rsidRPr="00D43F2D">
        <w:t xml:space="preserve">For </w:t>
      </w:r>
      <w:r>
        <w:t xml:space="preserve">inter-band </w:t>
      </w:r>
      <w:r>
        <w:t>SSB-less SCell operation,</w:t>
      </w:r>
      <w:r>
        <w:t xml:space="preserve"> </w:t>
      </w:r>
      <w:r>
        <w:t xml:space="preserve">it can be considered </w:t>
      </w:r>
      <w:r w:rsidRPr="00475E0D">
        <w:t>an SCell does not have to transmit SSB, where the time/frequency synchronization of the SCell can be derived from the PCell or another SCell.</w:t>
      </w:r>
      <w:r>
        <w:t xml:space="preserve"> </w:t>
      </w:r>
      <w:r>
        <w:t xml:space="preserve">How to find the </w:t>
      </w:r>
      <w:r>
        <w:lastRenderedPageBreak/>
        <w:t xml:space="preserve">reference </w:t>
      </w:r>
      <w:r w:rsidR="00E61B50">
        <w:t>c</w:t>
      </w:r>
      <w:r>
        <w:t xml:space="preserve">ell, RAN4 has agreed to introduce an indication from </w:t>
      </w:r>
      <w:r w:rsidR="008F1E1E">
        <w:t xml:space="preserve">the </w:t>
      </w:r>
      <w:r>
        <w:t xml:space="preserve">network to UE to indicate </w:t>
      </w:r>
      <w:r w:rsidR="00321CC2">
        <w:t>which cell is the reference cell.</w:t>
      </w:r>
      <w:r w:rsidR="00E61B50">
        <w:t xml:space="preserve"> The issue </w:t>
      </w:r>
      <w:r w:rsidR="00525F28">
        <w:t xml:space="preserve">that </w:t>
      </w:r>
      <w:r w:rsidR="00E61B50">
        <w:t>need</w:t>
      </w:r>
      <w:r w:rsidR="00E02991">
        <w:t>s</w:t>
      </w:r>
      <w:r w:rsidR="00E61B50">
        <w:t xml:space="preserve"> </w:t>
      </w:r>
      <w:r w:rsidR="00E02991">
        <w:t xml:space="preserve">to </w:t>
      </w:r>
      <w:r w:rsidR="00E61B50">
        <w:t xml:space="preserve">be discussed is how to indicate such a reference cell. </w:t>
      </w:r>
      <w:r w:rsidR="008F1E1E">
        <w:t xml:space="preserve">From </w:t>
      </w:r>
      <w:r w:rsidR="00006914">
        <w:t xml:space="preserve">the </w:t>
      </w:r>
      <w:r w:rsidR="008F1E1E">
        <w:t xml:space="preserve">RAN2 perspective, </w:t>
      </w:r>
      <w:r w:rsidR="00006914">
        <w:t>a</w:t>
      </w:r>
      <w:r w:rsidR="00006914" w:rsidRPr="00006914">
        <w:t>lthough RAN2 has agreed to use</w:t>
      </w:r>
      <w:r w:rsidR="00006914">
        <w:t xml:space="preserve"> SSB frequency in RAN2#122</w:t>
      </w:r>
      <w:r w:rsidR="00E02991">
        <w:t xml:space="preserve"> </w:t>
      </w:r>
      <w:r w:rsidR="00006914">
        <w:t xml:space="preserve">meeting, </w:t>
      </w:r>
      <w:r w:rsidR="008F1E1E">
        <w:t xml:space="preserve">we </w:t>
      </w:r>
      <w:r w:rsidR="00006914">
        <w:t xml:space="preserve">still </w:t>
      </w:r>
      <w:r w:rsidR="008F1E1E">
        <w:t xml:space="preserve">think </w:t>
      </w:r>
      <w:r w:rsidR="00006914">
        <w:t xml:space="preserve">indicating serving cell </w:t>
      </w:r>
      <w:r w:rsidR="003D79D8">
        <w:t>index</w:t>
      </w:r>
      <w:r w:rsidR="00006914">
        <w:t xml:space="preserve"> is the best way</w:t>
      </w:r>
      <w:r w:rsidR="00E02991">
        <w:t>.</w:t>
      </w:r>
      <w:r w:rsidR="003D79D8">
        <w:t xml:space="preserve"> Currently</w:t>
      </w:r>
      <w:r w:rsidR="00E02991">
        <w:t>, RAN4 has confirmed that the reference cell should be an activated SCell</w:t>
      </w:r>
      <w:r w:rsidR="00E02991">
        <w:rPr>
          <w:rFonts w:hint="eastAsia"/>
        </w:rPr>
        <w:t xml:space="preserve"> </w:t>
      </w:r>
      <w:r w:rsidR="00E02991">
        <w:t>or activated PSCell</w:t>
      </w:r>
      <w:r w:rsidR="002C224D">
        <w:t xml:space="preserve">. </w:t>
      </w:r>
      <w:r w:rsidR="002D4C70">
        <w:t>That is to say, i</w:t>
      </w:r>
      <w:r w:rsidR="003D79D8">
        <w:t xml:space="preserve">f the network configures the SSB frequency, it must ensure the SSB frequency is included in </w:t>
      </w:r>
      <w:r w:rsidR="002C224D">
        <w:t xml:space="preserve">the </w:t>
      </w:r>
      <w:r w:rsidR="003D79D8">
        <w:t>activated BWP</w:t>
      </w:r>
      <w:r w:rsidR="003D79D8">
        <w:rPr>
          <w:rFonts w:hint="eastAsia"/>
        </w:rPr>
        <w:t>.</w:t>
      </w:r>
      <w:r w:rsidR="00325E04">
        <w:t xml:space="preserve"> </w:t>
      </w:r>
      <w:r w:rsidR="003D79D8">
        <w:t>However, BWP switch</w:t>
      </w:r>
      <w:r w:rsidR="00325E04">
        <w:t>ing</w:t>
      </w:r>
      <w:r w:rsidR="003D79D8">
        <w:t xml:space="preserve"> can occur frequently</w:t>
      </w:r>
      <w:r w:rsidR="00C36A98">
        <w:t>. Thus,</w:t>
      </w:r>
      <w:r w:rsidR="003D79D8">
        <w:t xml:space="preserve"> it is difficult to </w:t>
      </w:r>
      <w:r w:rsidR="003D79D8" w:rsidRPr="003D79D8">
        <w:t>guarantee</w:t>
      </w:r>
      <w:r w:rsidR="00C36A98">
        <w:t xml:space="preserve"> </w:t>
      </w:r>
      <w:r w:rsidR="00325E04">
        <w:t xml:space="preserve">it. </w:t>
      </w:r>
      <w:r w:rsidR="003D79D8">
        <w:t xml:space="preserve">For </w:t>
      </w:r>
      <w:r w:rsidR="00325E04">
        <w:t xml:space="preserve">indicating </w:t>
      </w:r>
      <w:r w:rsidR="003D79D8">
        <w:t xml:space="preserve">serving cell, </w:t>
      </w:r>
      <w:r w:rsidR="00325E04">
        <w:t>t</w:t>
      </w:r>
      <w:r w:rsidR="00325E04" w:rsidRPr="00325E04">
        <w:t xml:space="preserve">he network only needs to ensure that the configured </w:t>
      </w:r>
      <w:r w:rsidR="00325E04">
        <w:t>serving cell</w:t>
      </w:r>
      <w:r w:rsidR="00325E04" w:rsidRPr="00325E04">
        <w:t xml:space="preserve"> is activated</w:t>
      </w:r>
      <w:r w:rsidR="002D4C70">
        <w:t xml:space="preserve">, which </w:t>
      </w:r>
      <w:r w:rsidR="00C71CF3">
        <w:t xml:space="preserve">means </w:t>
      </w:r>
      <w:r w:rsidR="00325E04" w:rsidRPr="00325E04">
        <w:t xml:space="preserve">there must </w:t>
      </w:r>
      <w:r w:rsidR="002C224D">
        <w:t>exist</w:t>
      </w:r>
      <w:r w:rsidR="00325E04" w:rsidRPr="00325E04">
        <w:t xml:space="preserve"> activated BWP and corresponding </w:t>
      </w:r>
      <w:r w:rsidR="00C71CF3">
        <w:t>SSB frequency</w:t>
      </w:r>
      <w:r w:rsidR="00325E04" w:rsidRPr="00325E04">
        <w:t xml:space="preserve"> in this activated </w:t>
      </w:r>
      <w:r w:rsidR="002C224D">
        <w:t xml:space="preserve">serving </w:t>
      </w:r>
      <w:r w:rsidR="00325E04" w:rsidRPr="00325E04">
        <w:t>cell</w:t>
      </w:r>
      <w:r w:rsidR="00325E04">
        <w:t xml:space="preserve">. </w:t>
      </w:r>
      <w:r w:rsidR="002C224D" w:rsidRPr="002C224D">
        <w:t>The relationship between BWP, SSB, and carrier can be clearly reflected in the following figure</w:t>
      </w:r>
      <w:r w:rsidR="002C224D">
        <w:t xml:space="preserve"> [</w:t>
      </w:r>
      <w:r w:rsidR="006348F6">
        <w:t>3</w:t>
      </w:r>
      <w:r w:rsidR="002C224D">
        <w:t xml:space="preserve">]. </w:t>
      </w:r>
      <w:r w:rsidR="00325E04">
        <w:t>Therefore, we give the following proposal:</w:t>
      </w:r>
    </w:p>
    <w:p w14:paraId="3FB1C408" w14:textId="1AA6E1CA" w:rsidR="00991B02" w:rsidRDefault="00991B02" w:rsidP="00991B02">
      <w:pPr>
        <w:spacing w:before="120" w:after="180"/>
        <w:jc w:val="center"/>
      </w:pPr>
      <w:r w:rsidRPr="00CF58E9">
        <w:object w:dxaOrig="10006" w:dyaOrig="5476" w14:anchorId="21BA3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5pt;height:219.55pt" o:ole="">
            <v:imagedata r:id="rId11" o:title=""/>
          </v:shape>
          <o:OLEObject Type="Embed" ProgID="Visio.Drawing.15" ShapeID="_x0000_i1025" DrawAspect="Content" ObjectID="_1760531925" r:id="rId12"/>
        </w:object>
      </w:r>
    </w:p>
    <w:p w14:paraId="0F30B676" w14:textId="4CFDFE59" w:rsidR="00991B02" w:rsidRPr="00C71CF3" w:rsidRDefault="00991B02" w:rsidP="00C71CF3">
      <w:pPr>
        <w:pStyle w:val="TF"/>
        <w:rPr>
          <w:rFonts w:ascii="Times New Roman" w:eastAsiaTheme="minorEastAsia" w:hAnsi="Times New Roman" w:cstheme="minorBidi" w:hint="eastAsia"/>
          <w:b w:val="0"/>
          <w:kern w:val="2"/>
          <w:szCs w:val="21"/>
          <w:lang w:val="en-US" w:eastAsia="zh-CN"/>
        </w:rPr>
      </w:pPr>
      <w:r w:rsidRPr="00991B02">
        <w:rPr>
          <w:rFonts w:ascii="Times New Roman" w:eastAsiaTheme="minorEastAsia" w:hAnsi="Times New Roman" w:cstheme="minorBidi"/>
          <w:b w:val="0"/>
          <w:kern w:val="2"/>
          <w:szCs w:val="21"/>
          <w:lang w:val="en-US" w:eastAsia="zh-CN"/>
        </w:rPr>
        <w:t>Figure 1: Example of multiple SSBs in a carrier</w:t>
      </w:r>
    </w:p>
    <w:p w14:paraId="6B90A248" w14:textId="521116C5" w:rsidR="00D46290" w:rsidRPr="00E02991" w:rsidRDefault="00E61B50" w:rsidP="00E02991">
      <w:pPr>
        <w:rPr>
          <w:rFonts w:hint="eastAsia"/>
          <w:b/>
          <w:iCs/>
          <w:color w:val="000000" w:themeColor="text1"/>
        </w:rPr>
      </w:pPr>
      <w:r w:rsidRPr="001E3843">
        <w:rPr>
          <w:b/>
          <w:iCs/>
          <w:color w:val="000000" w:themeColor="text1"/>
        </w:rPr>
        <w:t>Proposa</w:t>
      </w:r>
      <w:r>
        <w:rPr>
          <w:b/>
          <w:iCs/>
          <w:color w:val="000000" w:themeColor="text1"/>
        </w:rPr>
        <w:t>l 1</w:t>
      </w:r>
      <w:r w:rsidRPr="001E3843">
        <w:rPr>
          <w:b/>
          <w:iCs/>
          <w:color w:val="000000" w:themeColor="text1"/>
        </w:rPr>
        <w:t>:</w:t>
      </w:r>
      <w:r w:rsidRPr="000A109C">
        <w:rPr>
          <w:b/>
          <w:iCs/>
          <w:color w:val="000000" w:themeColor="text1"/>
        </w:rPr>
        <w:t xml:space="preserve"> </w:t>
      </w:r>
      <w:r>
        <w:rPr>
          <w:b/>
          <w:iCs/>
          <w:color w:val="000000" w:themeColor="text1"/>
        </w:rPr>
        <w:t xml:space="preserve">Serving cell </w:t>
      </w:r>
      <w:r w:rsidR="003D79D8">
        <w:rPr>
          <w:b/>
          <w:iCs/>
          <w:color w:val="000000" w:themeColor="text1"/>
        </w:rPr>
        <w:t>index</w:t>
      </w:r>
      <w:r>
        <w:rPr>
          <w:b/>
          <w:iCs/>
          <w:color w:val="000000" w:themeColor="text1"/>
        </w:rPr>
        <w:t xml:space="preserve"> can be configured by t</w:t>
      </w:r>
      <w:r>
        <w:rPr>
          <w:b/>
          <w:iCs/>
          <w:color w:val="000000" w:themeColor="text1"/>
        </w:rPr>
        <w:t xml:space="preserve">he network </w:t>
      </w:r>
      <w:r>
        <w:rPr>
          <w:b/>
          <w:iCs/>
          <w:color w:val="000000" w:themeColor="text1"/>
        </w:rPr>
        <w:t>to indicate</w:t>
      </w:r>
      <w:r>
        <w:rPr>
          <w:b/>
          <w:iCs/>
          <w:color w:val="000000" w:themeColor="text1"/>
        </w:rPr>
        <w:t xml:space="preserve"> UE </w:t>
      </w:r>
      <w:r>
        <w:rPr>
          <w:b/>
          <w:iCs/>
          <w:color w:val="000000" w:themeColor="text1"/>
        </w:rPr>
        <w:t>the reference cell for</w:t>
      </w:r>
      <w:r>
        <w:rPr>
          <w:b/>
          <w:iCs/>
          <w:color w:val="000000" w:themeColor="text1"/>
        </w:rPr>
        <w:t xml:space="preserve"> obtain</w:t>
      </w:r>
      <w:r>
        <w:rPr>
          <w:b/>
          <w:iCs/>
          <w:color w:val="000000" w:themeColor="text1"/>
        </w:rPr>
        <w:t>ing</w:t>
      </w:r>
      <w:r>
        <w:rPr>
          <w:b/>
          <w:iCs/>
          <w:color w:val="000000" w:themeColor="text1"/>
        </w:rPr>
        <w:t xml:space="preserve"> the timing </w:t>
      </w:r>
      <w:r>
        <w:rPr>
          <w:b/>
          <w:iCs/>
          <w:color w:val="000000" w:themeColor="text1"/>
        </w:rPr>
        <w:t xml:space="preserve">and AGC </w:t>
      </w:r>
      <w:r>
        <w:rPr>
          <w:b/>
          <w:iCs/>
          <w:color w:val="000000" w:themeColor="text1"/>
        </w:rPr>
        <w:t>reference</w:t>
      </w:r>
      <w:r w:rsidR="00006914">
        <w:rPr>
          <w:b/>
          <w:iCs/>
          <w:color w:val="000000" w:themeColor="text1"/>
        </w:rPr>
        <w:t xml:space="preserve"> for inter-band SSB-less SCell</w:t>
      </w:r>
      <w:r>
        <w:rPr>
          <w:b/>
          <w:iCs/>
          <w:color w:val="000000" w:themeColor="text1"/>
        </w:rPr>
        <w:t>.</w:t>
      </w:r>
    </w:p>
    <w:p w14:paraId="4FB52490" w14:textId="426831C3" w:rsidR="009807FA" w:rsidRPr="006334E7" w:rsidRDefault="006334E7" w:rsidP="00E02991">
      <w:pPr>
        <w:pStyle w:val="a8"/>
        <w:spacing w:before="120" w:after="180"/>
      </w:pPr>
      <w:r>
        <w:t>Another issue of specification change is about t</w:t>
      </w:r>
      <w:r w:rsidRPr="006334E7">
        <w:t xml:space="preserve">he field description for </w:t>
      </w:r>
      <w:r w:rsidRPr="006334E7">
        <w:rPr>
          <w:i/>
        </w:rPr>
        <w:t>absoluteFrequencySSB</w:t>
      </w:r>
      <w:r>
        <w:t>.</w:t>
      </w:r>
      <w:r>
        <w:rPr>
          <w:i/>
        </w:rPr>
        <w:t xml:space="preserve"> </w:t>
      </w:r>
      <w:r>
        <w:rPr>
          <w:rFonts w:eastAsiaTheme="minorEastAsia"/>
          <w:szCs w:val="21"/>
          <w:lang w:eastAsia="zh-CN"/>
        </w:rPr>
        <w:t>I</w:t>
      </w:r>
      <w:r w:rsidRPr="00AD35B6">
        <w:rPr>
          <w:rFonts w:eastAsiaTheme="minorEastAsia"/>
          <w:szCs w:val="21"/>
          <w:lang w:eastAsia="zh-CN"/>
        </w:rPr>
        <w:t xml:space="preserve">n the current </w:t>
      </w:r>
      <w:r>
        <w:rPr>
          <w:rFonts w:eastAsiaTheme="minorEastAsia"/>
          <w:szCs w:val="21"/>
          <w:lang w:eastAsia="zh-CN"/>
        </w:rPr>
        <w:t xml:space="preserve">RAN2 </w:t>
      </w:r>
      <w:r w:rsidRPr="00AD35B6">
        <w:rPr>
          <w:rFonts w:eastAsiaTheme="minorEastAsia"/>
          <w:szCs w:val="21"/>
          <w:lang w:eastAsia="zh-CN"/>
        </w:rPr>
        <w:t>spec</w:t>
      </w:r>
      <w:r>
        <w:rPr>
          <w:rFonts w:eastAsiaTheme="minorEastAsia"/>
          <w:szCs w:val="21"/>
          <w:lang w:eastAsia="zh-CN"/>
        </w:rPr>
        <w:t xml:space="preserve"> </w:t>
      </w:r>
      <w:r>
        <w:rPr>
          <w:rFonts w:eastAsiaTheme="minorEastAsia"/>
          <w:szCs w:val="21"/>
          <w:lang w:eastAsia="zh-CN"/>
        </w:rPr>
        <w:t>[</w:t>
      </w:r>
      <w:r w:rsidR="00C71CF3">
        <w:rPr>
          <w:rFonts w:eastAsiaTheme="minorEastAsia"/>
          <w:szCs w:val="21"/>
          <w:lang w:eastAsia="zh-CN"/>
        </w:rPr>
        <w:t>4</w:t>
      </w:r>
      <w:r>
        <w:rPr>
          <w:rFonts w:eastAsiaTheme="minorEastAsia"/>
          <w:szCs w:val="21"/>
          <w:lang w:eastAsia="zh-CN"/>
        </w:rPr>
        <w:t>]</w:t>
      </w:r>
      <w:r>
        <w:rPr>
          <w:rFonts w:eastAsiaTheme="minorEastAsia"/>
          <w:szCs w:val="21"/>
          <w:lang w:eastAsia="zh-CN"/>
        </w:rPr>
        <w:t xml:space="preserve">, the field </w:t>
      </w:r>
      <w:r w:rsidR="00525F28">
        <w:rPr>
          <w:rFonts w:eastAsiaTheme="minorEastAsia"/>
          <w:szCs w:val="21"/>
          <w:lang w:eastAsia="zh-CN"/>
        </w:rPr>
        <w:t xml:space="preserve">is </w:t>
      </w:r>
      <w:r>
        <w:rPr>
          <w:rFonts w:eastAsiaTheme="minorEastAsia"/>
          <w:szCs w:val="21"/>
          <w:lang w:eastAsia="zh-CN"/>
        </w:rPr>
        <w:t xml:space="preserve">only defined for the case of intra-band SSB-less SCell. </w:t>
      </w:r>
      <w:r>
        <w:t>According to the RAN4 agreement, which</w:t>
      </w:r>
      <w:r w:rsidR="00E02991">
        <w:t xml:space="preserve"> has agreed the SSB-less SCell will not </w:t>
      </w:r>
      <w:r>
        <w:t>provide the SSB configuration (</w:t>
      </w:r>
      <w:r w:rsidRPr="006334E7">
        <w:rPr>
          <w:i/>
        </w:rPr>
        <w:t>absoluteFrequencySSB</w:t>
      </w:r>
      <w:r>
        <w:t xml:space="preserve">) in the SCell nor SMTC configuration. Therefore, </w:t>
      </w:r>
      <w:r w:rsidR="00525F28">
        <w:t xml:space="preserve">a </w:t>
      </w:r>
      <w:r>
        <w:t xml:space="preserve">similar </w:t>
      </w:r>
      <w:r w:rsidRPr="006334E7">
        <w:t>description</w:t>
      </w:r>
      <w:r>
        <w:t xml:space="preserve"> for inter-band SSB-less SCell should also be ad</w:t>
      </w:r>
      <w:r w:rsidR="00525F28">
        <w:t>de</w:t>
      </w:r>
      <w:r>
        <w:t xml:space="preserve">d in </w:t>
      </w:r>
      <w:r w:rsidRPr="006334E7">
        <w:rPr>
          <w:i/>
        </w:rPr>
        <w:t>absoluteFrequencySSB</w:t>
      </w:r>
      <w:r>
        <w:t>.</w:t>
      </w:r>
      <w:r w:rsidR="000F5CB4">
        <w:t xml:space="preserve"> Thus, we propose:</w:t>
      </w:r>
    </w:p>
    <w:tbl>
      <w:tblPr>
        <w:tblStyle w:val="a7"/>
        <w:tblW w:w="0" w:type="auto"/>
        <w:tblLook w:val="04A0" w:firstRow="1" w:lastRow="0" w:firstColumn="1" w:lastColumn="0" w:noHBand="0" w:noVBand="1"/>
      </w:tblPr>
      <w:tblGrid>
        <w:gridCol w:w="9060"/>
      </w:tblGrid>
      <w:tr w:rsidR="00DA7A3C" w14:paraId="3E2A9AB2" w14:textId="77777777" w:rsidTr="00DA7A3C">
        <w:tc>
          <w:tcPr>
            <w:tcW w:w="9060" w:type="dxa"/>
          </w:tcPr>
          <w:p w14:paraId="5DF8A2BB" w14:textId="77777777" w:rsidR="00DA7A3C" w:rsidRPr="00F10B4F" w:rsidRDefault="00DA7A3C" w:rsidP="00DA7A3C">
            <w:pPr>
              <w:pStyle w:val="TAL"/>
              <w:jc w:val="both"/>
              <w:rPr>
                <w:szCs w:val="22"/>
                <w:lang w:eastAsia="sv-SE"/>
              </w:rPr>
            </w:pPr>
            <w:r w:rsidRPr="00F10B4F">
              <w:rPr>
                <w:b/>
                <w:i/>
                <w:szCs w:val="22"/>
                <w:lang w:eastAsia="sv-SE"/>
              </w:rPr>
              <w:lastRenderedPageBreak/>
              <w:t>absoluteFrequencySSB</w:t>
            </w:r>
          </w:p>
          <w:p w14:paraId="0D4228F9" w14:textId="3FFFF1D3" w:rsidR="00DA7A3C" w:rsidRDefault="00DA7A3C" w:rsidP="00DA7A3C">
            <w:pPr>
              <w:pStyle w:val="a8"/>
              <w:rPr>
                <w:rFonts w:eastAsia="宋体"/>
                <w:lang w:eastAsia="zh-CN"/>
              </w:rPr>
            </w:pPr>
            <w:r w:rsidRPr="00F10B4F">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w:t>
            </w:r>
            <w:r w:rsidRPr="006334E7">
              <w:rPr>
                <w:szCs w:val="22"/>
                <w:lang w:eastAsia="sv-SE"/>
              </w:rPr>
              <w:t xml:space="preserve">If the field is absent, the SSB related parameters should be absent, e.g. </w:t>
            </w:r>
            <w:r w:rsidRPr="006334E7">
              <w:rPr>
                <w:i/>
                <w:lang w:eastAsia="sv-SE"/>
              </w:rPr>
              <w:t>ssb-PositionsInBurst</w:t>
            </w:r>
            <w:r w:rsidRPr="006334E7">
              <w:rPr>
                <w:szCs w:val="22"/>
                <w:lang w:eastAsia="sv-SE"/>
              </w:rPr>
              <w:t xml:space="preserve">, </w:t>
            </w:r>
            <w:r w:rsidRPr="006334E7">
              <w:rPr>
                <w:i/>
                <w:lang w:eastAsia="sv-SE"/>
              </w:rPr>
              <w:t>ssb-periodicityServingCell</w:t>
            </w:r>
            <w:r w:rsidRPr="006334E7">
              <w:rPr>
                <w:szCs w:val="22"/>
                <w:lang w:eastAsia="sv-SE"/>
              </w:rPr>
              <w:t xml:space="preserve"> and </w:t>
            </w:r>
            <w:r w:rsidRPr="006334E7">
              <w:rPr>
                <w:i/>
                <w:lang w:eastAsia="sv-SE"/>
              </w:rPr>
              <w:t>subcarrierSpacing</w:t>
            </w:r>
            <w:r w:rsidRPr="006334E7">
              <w:rPr>
                <w:szCs w:val="22"/>
                <w:lang w:eastAsia="sv-SE"/>
              </w:rPr>
              <w:t xml:space="preserve"> in </w:t>
            </w:r>
            <w:r w:rsidRPr="006334E7">
              <w:rPr>
                <w:i/>
                <w:lang w:eastAsia="sv-SE"/>
              </w:rPr>
              <w:t>ServingCellConfigCommon</w:t>
            </w:r>
            <w:r w:rsidRPr="006334E7">
              <w:rPr>
                <w:szCs w:val="22"/>
                <w:lang w:eastAsia="sv-SE"/>
              </w:rPr>
              <w:t xml:space="preserve"> IE. </w:t>
            </w:r>
            <w:r w:rsidRPr="006334E7">
              <w:rPr>
                <w:szCs w:val="22"/>
                <w:highlight w:val="yellow"/>
                <w:lang w:eastAsia="sv-SE"/>
              </w:rPr>
              <w:t>If the field is absent, the UE obtains timing reference from the SpCell</w:t>
            </w:r>
            <w:r w:rsidRPr="006334E7">
              <w:rPr>
                <w:highlight w:val="yellow"/>
                <w:lang w:eastAsia="zh-CN"/>
              </w:rPr>
              <w:t xml:space="preserve"> </w:t>
            </w:r>
            <w:r w:rsidRPr="006334E7">
              <w:rPr>
                <w:szCs w:val="22"/>
                <w:highlight w:val="yellow"/>
                <w:lang w:eastAsia="sv-SE"/>
              </w:rPr>
              <w:t>or an SCell if applicable as described in TS 38.213 [13]</w:t>
            </w:r>
            <w:r w:rsidRPr="006334E7">
              <w:rPr>
                <w:szCs w:val="22"/>
                <w:lang w:eastAsia="sv-SE"/>
              </w:rPr>
              <w:t xml:space="preserve">, clause 4.1. </w:t>
            </w:r>
            <w:r w:rsidRPr="006334E7">
              <w:rPr>
                <w:szCs w:val="22"/>
                <w:highlight w:val="yellow"/>
                <w:lang w:eastAsia="sv-SE"/>
              </w:rPr>
              <w:t>This is only supported in case the SCell for which the UE obtains the timing reference is in the same frequency band as the cell</w:t>
            </w:r>
            <w:r w:rsidRPr="006334E7">
              <w:rPr>
                <w:szCs w:val="22"/>
                <w:lang w:eastAsia="sv-SE"/>
              </w:rPr>
              <w:t xml:space="preserve"> (i.e. the SpCell or the SCell, respectively) from which the UE obtains the timing reference.</w:t>
            </w:r>
            <w:r>
              <w:rPr>
                <w:szCs w:val="22"/>
                <w:lang w:eastAsia="sv-SE"/>
              </w:rPr>
              <w:t xml:space="preserve"> </w:t>
            </w:r>
            <w:r w:rsidRPr="00F10B4F">
              <w:rPr>
                <w:szCs w:val="22"/>
                <w:lang w:eastAsia="sv-SE"/>
              </w:rPr>
              <w:t xml:space="preserve">For cells supporting RedCap, </w:t>
            </w:r>
            <w:r w:rsidRPr="00F10B4F">
              <w:t>this field</w:t>
            </w:r>
            <w:r w:rsidRPr="00F10B4F">
              <w:rPr>
                <w:szCs w:val="22"/>
                <w:lang w:eastAsia="sv-SE"/>
              </w:rPr>
              <w:t xml:space="preserve"> corresponds to the CD-SSB.</w:t>
            </w:r>
          </w:p>
        </w:tc>
      </w:tr>
    </w:tbl>
    <w:p w14:paraId="7C7523BB" w14:textId="62D07B02" w:rsidR="00B6747B" w:rsidRPr="009350B8" w:rsidRDefault="00B6747B" w:rsidP="006334E7">
      <w:pPr>
        <w:spacing w:before="120" w:after="180"/>
        <w:rPr>
          <w:b/>
          <w:iCs/>
          <w:color w:val="000000" w:themeColor="text1"/>
        </w:rPr>
      </w:pPr>
      <w:r w:rsidRPr="001E3843">
        <w:rPr>
          <w:b/>
          <w:iCs/>
          <w:color w:val="000000" w:themeColor="text1"/>
        </w:rPr>
        <w:t>Proposa</w:t>
      </w:r>
      <w:r>
        <w:rPr>
          <w:b/>
          <w:iCs/>
          <w:color w:val="000000" w:themeColor="text1"/>
        </w:rPr>
        <w:t xml:space="preserve">l </w:t>
      </w:r>
      <w:r w:rsidR="00525F28">
        <w:rPr>
          <w:b/>
          <w:iCs/>
          <w:color w:val="000000" w:themeColor="text1"/>
        </w:rPr>
        <w:t>2</w:t>
      </w:r>
      <w:r w:rsidRPr="001E3843">
        <w:rPr>
          <w:b/>
          <w:iCs/>
          <w:color w:val="000000" w:themeColor="text1"/>
        </w:rPr>
        <w:t>:</w:t>
      </w:r>
      <w:r w:rsidRPr="000A109C">
        <w:rPr>
          <w:b/>
          <w:iCs/>
          <w:color w:val="000000" w:themeColor="text1"/>
        </w:rPr>
        <w:t xml:space="preserve"> </w:t>
      </w:r>
      <w:r w:rsidR="00325E04">
        <w:rPr>
          <w:b/>
          <w:iCs/>
          <w:color w:val="000000" w:themeColor="text1"/>
        </w:rPr>
        <w:t xml:space="preserve">Add the </w:t>
      </w:r>
      <w:r w:rsidR="00325E04" w:rsidRPr="00325E04">
        <w:rPr>
          <w:b/>
          <w:iCs/>
          <w:color w:val="000000" w:themeColor="text1"/>
        </w:rPr>
        <w:t>clarification</w:t>
      </w:r>
      <w:r w:rsidR="00325E04">
        <w:rPr>
          <w:b/>
          <w:iCs/>
          <w:color w:val="000000" w:themeColor="text1"/>
        </w:rPr>
        <w:t xml:space="preserve"> in </w:t>
      </w:r>
      <w:r w:rsidR="00325E04" w:rsidRPr="009350B8">
        <w:rPr>
          <w:b/>
          <w:i/>
          <w:iCs/>
          <w:color w:val="000000" w:themeColor="text1"/>
        </w:rPr>
        <w:t>absoluteFrequencySSB</w:t>
      </w:r>
      <w:r w:rsidR="00325E04">
        <w:rPr>
          <w:b/>
          <w:iCs/>
          <w:color w:val="000000" w:themeColor="text1"/>
        </w:rPr>
        <w:t xml:space="preserve"> </w:t>
      </w:r>
      <w:r w:rsidR="00325E04">
        <w:rPr>
          <w:b/>
          <w:iCs/>
          <w:color w:val="000000" w:themeColor="text1"/>
        </w:rPr>
        <w:t>that “</w:t>
      </w:r>
      <w:r>
        <w:rPr>
          <w:b/>
          <w:iCs/>
          <w:color w:val="000000" w:themeColor="text1"/>
        </w:rPr>
        <w:t>I</w:t>
      </w:r>
      <w:r>
        <w:rPr>
          <w:rFonts w:hint="eastAsia"/>
          <w:b/>
          <w:iCs/>
          <w:color w:val="000000" w:themeColor="text1"/>
        </w:rPr>
        <w:t>f</w:t>
      </w:r>
      <w:r w:rsidR="009350B8">
        <w:rPr>
          <w:b/>
          <w:iCs/>
          <w:color w:val="000000" w:themeColor="text1"/>
        </w:rPr>
        <w:t xml:space="preserve"> the</w:t>
      </w:r>
      <w:r>
        <w:rPr>
          <w:b/>
          <w:iCs/>
          <w:color w:val="000000" w:themeColor="text1"/>
        </w:rPr>
        <w:t xml:space="preserve"> </w:t>
      </w:r>
      <w:bookmarkStart w:id="12" w:name="OLE_LINK23"/>
      <w:bookmarkStart w:id="13" w:name="OLE_LINK24"/>
      <w:r w:rsidR="009350B8" w:rsidRPr="009350B8">
        <w:rPr>
          <w:b/>
          <w:i/>
          <w:iCs/>
          <w:color w:val="000000" w:themeColor="text1"/>
        </w:rPr>
        <w:t>absoluteFrequencySSB</w:t>
      </w:r>
      <w:r w:rsidR="009350B8">
        <w:rPr>
          <w:b/>
          <w:iCs/>
          <w:color w:val="000000" w:themeColor="text1"/>
        </w:rPr>
        <w:t xml:space="preserve"> </w:t>
      </w:r>
      <w:bookmarkEnd w:id="12"/>
      <w:bookmarkEnd w:id="13"/>
      <w:r w:rsidR="009350B8">
        <w:rPr>
          <w:rFonts w:hint="eastAsia"/>
          <w:b/>
          <w:iCs/>
          <w:color w:val="000000" w:themeColor="text1"/>
        </w:rPr>
        <w:t>is</w:t>
      </w:r>
      <w:r w:rsidR="009350B8">
        <w:rPr>
          <w:b/>
          <w:iCs/>
          <w:color w:val="000000" w:themeColor="text1"/>
        </w:rPr>
        <w:t xml:space="preserve"> absent and SMTC is not provided either, the UE obtains timing reference from the SPCell or an SCell that the network indicates</w:t>
      </w:r>
      <w:r w:rsidR="00325E04">
        <w:rPr>
          <w:b/>
          <w:iCs/>
          <w:color w:val="000000" w:themeColor="text1"/>
        </w:rPr>
        <w:t>”.</w:t>
      </w:r>
    </w:p>
    <w:p w14:paraId="1F94C110" w14:textId="77777777" w:rsidR="00AC31E5" w:rsidRPr="005919D3" w:rsidRDefault="00AC31E5" w:rsidP="001B666D">
      <w:pPr>
        <w:pBdr>
          <w:bottom w:val="single" w:sz="12" w:space="1" w:color="auto"/>
        </w:pBdr>
      </w:pPr>
    </w:p>
    <w:p w14:paraId="537D179A" w14:textId="77777777" w:rsidR="001B666D" w:rsidRDefault="001B666D" w:rsidP="001B666D">
      <w:pPr>
        <w:pStyle w:val="1"/>
      </w:pPr>
      <w:r>
        <w:t>Conclusion</w:t>
      </w:r>
    </w:p>
    <w:p w14:paraId="00FF408C" w14:textId="2B7514B5" w:rsidR="001B666D" w:rsidRDefault="001B666D" w:rsidP="001B666D">
      <w:pPr>
        <w:pStyle w:val="a8"/>
        <w:rPr>
          <w:rFonts w:eastAsia="宋体"/>
          <w:lang w:eastAsia="zh-CN"/>
        </w:rPr>
      </w:pPr>
      <w:r>
        <w:rPr>
          <w:rFonts w:eastAsia="宋体"/>
          <w:lang w:eastAsia="zh-CN"/>
        </w:rPr>
        <w:t>Based on the discussion, we have the following proposals:</w:t>
      </w:r>
    </w:p>
    <w:p w14:paraId="7D3D2A81" w14:textId="77777777" w:rsidR="00361115" w:rsidRPr="00E02991" w:rsidRDefault="00361115" w:rsidP="00361115">
      <w:pPr>
        <w:rPr>
          <w:rFonts w:hint="eastAsia"/>
          <w:b/>
          <w:iCs/>
          <w:color w:val="000000" w:themeColor="text1"/>
        </w:rPr>
      </w:pPr>
      <w:r w:rsidRPr="001E3843">
        <w:rPr>
          <w:b/>
          <w:iCs/>
          <w:color w:val="000000" w:themeColor="text1"/>
        </w:rPr>
        <w:t>Proposa</w:t>
      </w:r>
      <w:r>
        <w:rPr>
          <w:b/>
          <w:iCs/>
          <w:color w:val="000000" w:themeColor="text1"/>
        </w:rPr>
        <w:t>l 1</w:t>
      </w:r>
      <w:r w:rsidRPr="001E3843">
        <w:rPr>
          <w:b/>
          <w:iCs/>
          <w:color w:val="000000" w:themeColor="text1"/>
        </w:rPr>
        <w:t>:</w:t>
      </w:r>
      <w:r w:rsidRPr="000A109C">
        <w:rPr>
          <w:b/>
          <w:iCs/>
          <w:color w:val="000000" w:themeColor="text1"/>
        </w:rPr>
        <w:t xml:space="preserve"> </w:t>
      </w:r>
      <w:r>
        <w:rPr>
          <w:b/>
          <w:iCs/>
          <w:color w:val="000000" w:themeColor="text1"/>
        </w:rPr>
        <w:t>Serving cell index can be configured by the network to indicate UE the reference cell for obtaining the timing and AGC reference for inter-band SSB-less SCell.</w:t>
      </w:r>
    </w:p>
    <w:p w14:paraId="316CB101" w14:textId="73BCF914" w:rsidR="00361115" w:rsidRPr="009350B8" w:rsidRDefault="00361115" w:rsidP="00361115">
      <w:pPr>
        <w:spacing w:before="120" w:after="180"/>
        <w:rPr>
          <w:b/>
          <w:iCs/>
          <w:color w:val="000000" w:themeColor="text1"/>
        </w:rPr>
      </w:pPr>
      <w:r w:rsidRPr="001E3843">
        <w:rPr>
          <w:b/>
          <w:iCs/>
          <w:color w:val="000000" w:themeColor="text1"/>
        </w:rPr>
        <w:t>Proposa</w:t>
      </w:r>
      <w:r>
        <w:rPr>
          <w:b/>
          <w:iCs/>
          <w:color w:val="000000" w:themeColor="text1"/>
        </w:rPr>
        <w:t>l 2</w:t>
      </w:r>
      <w:r w:rsidRPr="001E3843">
        <w:rPr>
          <w:b/>
          <w:iCs/>
          <w:color w:val="000000" w:themeColor="text1"/>
        </w:rPr>
        <w:t>:</w:t>
      </w:r>
      <w:r w:rsidRPr="000A109C">
        <w:rPr>
          <w:b/>
          <w:iCs/>
          <w:color w:val="000000" w:themeColor="text1"/>
        </w:rPr>
        <w:t xml:space="preserve"> </w:t>
      </w:r>
      <w:r>
        <w:rPr>
          <w:b/>
          <w:iCs/>
          <w:color w:val="000000" w:themeColor="text1"/>
        </w:rPr>
        <w:t xml:space="preserve">Add the </w:t>
      </w:r>
      <w:r w:rsidRPr="00325E04">
        <w:rPr>
          <w:b/>
          <w:iCs/>
          <w:color w:val="000000" w:themeColor="text1"/>
        </w:rPr>
        <w:t>clarification</w:t>
      </w:r>
      <w:r>
        <w:rPr>
          <w:b/>
          <w:iCs/>
          <w:color w:val="000000" w:themeColor="text1"/>
        </w:rPr>
        <w:t xml:space="preserve"> in </w:t>
      </w:r>
      <w:r w:rsidRPr="009350B8">
        <w:rPr>
          <w:b/>
          <w:i/>
          <w:iCs/>
          <w:color w:val="000000" w:themeColor="text1"/>
        </w:rPr>
        <w:t>absoluteFrequencySSB</w:t>
      </w:r>
      <w:r>
        <w:rPr>
          <w:b/>
          <w:iCs/>
          <w:color w:val="000000" w:themeColor="text1"/>
        </w:rPr>
        <w:t xml:space="preserve"> that “I</w:t>
      </w:r>
      <w:r>
        <w:rPr>
          <w:rFonts w:hint="eastAsia"/>
          <w:b/>
          <w:iCs/>
          <w:color w:val="000000" w:themeColor="text1"/>
        </w:rPr>
        <w:t>f</w:t>
      </w:r>
      <w:r>
        <w:rPr>
          <w:b/>
          <w:iCs/>
          <w:color w:val="000000" w:themeColor="text1"/>
        </w:rPr>
        <w:t xml:space="preserve"> the </w:t>
      </w:r>
      <w:r w:rsidRPr="009350B8">
        <w:rPr>
          <w:b/>
          <w:i/>
          <w:iCs/>
          <w:color w:val="000000" w:themeColor="text1"/>
        </w:rPr>
        <w:t>absoluteFrequencySSB</w:t>
      </w:r>
      <w:r>
        <w:rPr>
          <w:b/>
          <w:iCs/>
          <w:color w:val="000000" w:themeColor="text1"/>
        </w:rPr>
        <w:t xml:space="preserve"> </w:t>
      </w:r>
      <w:r>
        <w:rPr>
          <w:rFonts w:hint="eastAsia"/>
          <w:b/>
          <w:iCs/>
          <w:color w:val="000000" w:themeColor="text1"/>
        </w:rPr>
        <w:t>is</w:t>
      </w:r>
      <w:r>
        <w:rPr>
          <w:b/>
          <w:iCs/>
          <w:color w:val="000000" w:themeColor="text1"/>
        </w:rPr>
        <w:t xml:space="preserve"> absent and SMTC is not provided either, the UE obtains timing reference from the SPCell or an SCell that the network indicates”</w:t>
      </w:r>
      <w:r>
        <w:rPr>
          <w:b/>
          <w:iCs/>
          <w:color w:val="000000" w:themeColor="text1"/>
        </w:rPr>
        <w:t>.</w:t>
      </w:r>
    </w:p>
    <w:p w14:paraId="30493BCD" w14:textId="77777777" w:rsidR="001B666D" w:rsidRPr="00361115" w:rsidRDefault="001B666D" w:rsidP="001B666D">
      <w:pPr>
        <w:pBdr>
          <w:bottom w:val="single" w:sz="12" w:space="1" w:color="auto"/>
        </w:pBdr>
        <w:rPr>
          <w:b/>
          <w:szCs w:val="20"/>
        </w:rPr>
      </w:pPr>
    </w:p>
    <w:p w14:paraId="0487E704" w14:textId="77777777" w:rsidR="001B666D" w:rsidRDefault="001B666D" w:rsidP="001B666D">
      <w:pPr>
        <w:pStyle w:val="1"/>
      </w:pPr>
      <w:r>
        <w:t>References</w:t>
      </w:r>
    </w:p>
    <w:p w14:paraId="388550A4" w14:textId="2D5797D8" w:rsidR="008163B3" w:rsidRDefault="001B666D" w:rsidP="005D4125">
      <w:r>
        <w:rPr>
          <w:rFonts w:hint="eastAsia"/>
        </w:rPr>
        <w:t>[</w:t>
      </w:r>
      <w:r>
        <w:t xml:space="preserve">1] </w:t>
      </w:r>
      <w:r w:rsidR="005D4125">
        <w:t xml:space="preserve">RAN2#122 meeting </w:t>
      </w:r>
      <w:r w:rsidR="005D4125">
        <w:t>minutes</w:t>
      </w:r>
      <w:r w:rsidR="00834B93">
        <w:t>.</w:t>
      </w:r>
    </w:p>
    <w:p w14:paraId="1468FF88" w14:textId="687437F5" w:rsidR="00834B93" w:rsidRDefault="00834B93" w:rsidP="005D4125">
      <w:r>
        <w:t>[</w:t>
      </w:r>
      <w:r>
        <w:t xml:space="preserve">2] </w:t>
      </w:r>
      <w:r w:rsidRPr="00627503">
        <w:t>R4-231</w:t>
      </w:r>
      <w:r>
        <w:t>7307</w:t>
      </w:r>
      <w:r>
        <w:t>,</w:t>
      </w:r>
      <w:r w:rsidRPr="00627503">
        <w:t xml:space="preserve"> </w:t>
      </w:r>
      <w:r w:rsidRPr="00834B93">
        <w:t>LS on SSB-less operation for Rel-18 NES</w:t>
      </w:r>
      <w:r>
        <w:t>,</w:t>
      </w:r>
      <w:r w:rsidR="00525F28">
        <w:t xml:space="preserve"> </w:t>
      </w:r>
      <w:r>
        <w:t>Huawei.</w:t>
      </w:r>
    </w:p>
    <w:p w14:paraId="4D939176" w14:textId="1A32A981" w:rsidR="006348F6" w:rsidRDefault="006348F6" w:rsidP="005D4125">
      <w:pPr>
        <w:rPr>
          <w:rFonts w:hint="eastAsia"/>
        </w:rPr>
      </w:pPr>
      <w:r>
        <w:rPr>
          <w:rFonts w:hint="eastAsia"/>
        </w:rPr>
        <w:t>[</w:t>
      </w:r>
      <w:r>
        <w:t>3</w:t>
      </w:r>
      <w:r>
        <w:t>] TS 38.300, V17.6.0.</w:t>
      </w:r>
    </w:p>
    <w:p w14:paraId="4AC147DE" w14:textId="4B08E974" w:rsidR="00072BB7" w:rsidRDefault="00072BB7" w:rsidP="00072BB7">
      <w:r>
        <w:rPr>
          <w:rFonts w:hint="eastAsia"/>
        </w:rPr>
        <w:t>[</w:t>
      </w:r>
      <w:r w:rsidR="006348F6">
        <w:t>4</w:t>
      </w:r>
      <w:r>
        <w:t>]</w:t>
      </w:r>
      <w:r w:rsidRPr="00072BB7">
        <w:rPr>
          <w:rFonts w:hint="eastAsia"/>
        </w:rPr>
        <w:t xml:space="preserve"> </w:t>
      </w:r>
      <w:r>
        <w:rPr>
          <w:rFonts w:hint="eastAsia"/>
        </w:rPr>
        <w:t>T</w:t>
      </w:r>
      <w:r>
        <w:t>S 38.331, V17.</w:t>
      </w:r>
      <w:r w:rsidR="008701BA">
        <w:t>6</w:t>
      </w:r>
      <w:r>
        <w:t>.0.</w:t>
      </w:r>
    </w:p>
    <w:sectPr w:rsidR="00072BB7"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599FD" w14:textId="77777777" w:rsidR="00AB3744" w:rsidRDefault="00AB3744" w:rsidP="003E7FE5">
      <w:r>
        <w:separator/>
      </w:r>
    </w:p>
  </w:endnote>
  <w:endnote w:type="continuationSeparator" w:id="0">
    <w:p w14:paraId="41D40692" w14:textId="77777777" w:rsidR="00AB3744" w:rsidRDefault="00AB374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2DD1D" w14:textId="77777777" w:rsidR="00AB3744" w:rsidRDefault="00AB3744" w:rsidP="003E7FE5">
      <w:r>
        <w:separator/>
      </w:r>
    </w:p>
  </w:footnote>
  <w:footnote w:type="continuationSeparator" w:id="0">
    <w:p w14:paraId="4DD2AB9F" w14:textId="77777777" w:rsidR="00AB3744" w:rsidRDefault="00AB374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EBB511"/>
    <w:multiLevelType w:val="singleLevel"/>
    <w:tmpl w:val="90EBB511"/>
    <w:lvl w:ilvl="0">
      <w:start w:val="1"/>
      <w:numFmt w:val="bullet"/>
      <w:lvlText w:val=""/>
      <w:lvlJc w:val="left"/>
      <w:pPr>
        <w:ind w:left="420" w:hanging="420"/>
      </w:pPr>
      <w:rPr>
        <w:rFonts w:ascii="Wingdings" w:hAnsi="Wingdings" w:hint="default"/>
      </w:rPr>
    </w:lvl>
  </w:abstractNum>
  <w:abstractNum w:abstractNumId="1" w15:restartNumberingAfterBreak="0">
    <w:nsid w:val="02E82A17"/>
    <w:multiLevelType w:val="multilevel"/>
    <w:tmpl w:val="CB2E4A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932761"/>
    <w:multiLevelType w:val="hybridMultilevel"/>
    <w:tmpl w:val="C8365A7C"/>
    <w:lvl w:ilvl="0" w:tplc="FFA63E5A">
      <w:start w:val="4"/>
      <w:numFmt w:val="bullet"/>
      <w:lvlText w:val="-"/>
      <w:lvlJc w:val="left"/>
      <w:pPr>
        <w:ind w:left="1679" w:hanging="42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B1A204A"/>
    <w:multiLevelType w:val="multilevel"/>
    <w:tmpl w:val="C9147806"/>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FBD667E"/>
    <w:multiLevelType w:val="hybridMultilevel"/>
    <w:tmpl w:val="C54EB61E"/>
    <w:lvl w:ilvl="0" w:tplc="E4C4C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2D93F"/>
    <w:multiLevelType w:val="singleLevel"/>
    <w:tmpl w:val="1062D93F"/>
    <w:lvl w:ilvl="0">
      <w:start w:val="1"/>
      <w:numFmt w:val="bullet"/>
      <w:lvlText w:val=""/>
      <w:lvlJc w:val="left"/>
      <w:pPr>
        <w:ind w:left="420" w:hanging="420"/>
      </w:pPr>
      <w:rPr>
        <w:rFonts w:ascii="Wingdings" w:hAnsi="Wingdings" w:hint="default"/>
      </w:rPr>
    </w:lvl>
  </w:abstractNum>
  <w:abstractNum w:abstractNumId="6" w15:restartNumberingAfterBreak="0">
    <w:nsid w:val="159C2DC0"/>
    <w:multiLevelType w:val="multilevel"/>
    <w:tmpl w:val="159C2DC0"/>
    <w:lvl w:ilvl="0">
      <w:start w:val="302"/>
      <w:numFmt w:val="bullet"/>
      <w:lvlText w:val="-"/>
      <w:lvlJc w:val="left"/>
      <w:pPr>
        <w:tabs>
          <w:tab w:val="left" w:pos="-420"/>
        </w:tabs>
        <w:ind w:left="720" w:hanging="360"/>
      </w:pPr>
      <w:rPr>
        <w:rFonts w:ascii="Times New Roman" w:hAnsi="Times New Roman" w:hint="default"/>
      </w:rPr>
    </w:lvl>
    <w:lvl w:ilvl="1">
      <w:start w:val="1"/>
      <w:numFmt w:val="bullet"/>
      <w:lvlText w:val="o"/>
      <w:lvlJc w:val="left"/>
      <w:pPr>
        <w:tabs>
          <w:tab w:val="left" w:pos="-420"/>
        </w:tabs>
        <w:ind w:left="1440" w:hanging="360"/>
      </w:pPr>
      <w:rPr>
        <w:rFonts w:ascii="Courier New" w:hAnsi="Courier New" w:cs="Courier New" w:hint="default"/>
      </w:rPr>
    </w:lvl>
    <w:lvl w:ilvl="2">
      <w:start w:val="1"/>
      <w:numFmt w:val="bullet"/>
      <w:lvlText w:val=""/>
      <w:lvlJc w:val="left"/>
      <w:pPr>
        <w:tabs>
          <w:tab w:val="left" w:pos="-420"/>
        </w:tabs>
        <w:ind w:left="2160" w:hanging="360"/>
      </w:pPr>
      <w:rPr>
        <w:rFonts w:ascii="Wingdings" w:hAnsi="Wingdings" w:hint="default"/>
      </w:rPr>
    </w:lvl>
    <w:lvl w:ilvl="3">
      <w:start w:val="1"/>
      <w:numFmt w:val="bullet"/>
      <w:lvlText w:val=""/>
      <w:lvlJc w:val="left"/>
      <w:pPr>
        <w:tabs>
          <w:tab w:val="left" w:pos="-420"/>
        </w:tabs>
        <w:ind w:left="2880" w:hanging="360"/>
      </w:pPr>
      <w:rPr>
        <w:rFonts w:ascii="Symbol" w:hAnsi="Symbol" w:hint="default"/>
      </w:rPr>
    </w:lvl>
    <w:lvl w:ilvl="4">
      <w:start w:val="1"/>
      <w:numFmt w:val="bullet"/>
      <w:lvlText w:val="o"/>
      <w:lvlJc w:val="left"/>
      <w:pPr>
        <w:tabs>
          <w:tab w:val="left" w:pos="-420"/>
        </w:tabs>
        <w:ind w:left="3600" w:hanging="360"/>
      </w:pPr>
      <w:rPr>
        <w:rFonts w:ascii="Courier New" w:hAnsi="Courier New" w:cs="Courier New" w:hint="default"/>
      </w:rPr>
    </w:lvl>
    <w:lvl w:ilvl="5">
      <w:start w:val="1"/>
      <w:numFmt w:val="bullet"/>
      <w:lvlText w:val=""/>
      <w:lvlJc w:val="left"/>
      <w:pPr>
        <w:tabs>
          <w:tab w:val="left" w:pos="-420"/>
        </w:tabs>
        <w:ind w:left="4320" w:hanging="360"/>
      </w:pPr>
      <w:rPr>
        <w:rFonts w:ascii="Wingdings" w:hAnsi="Wingdings" w:hint="default"/>
      </w:rPr>
    </w:lvl>
    <w:lvl w:ilvl="6">
      <w:start w:val="1"/>
      <w:numFmt w:val="bullet"/>
      <w:lvlText w:val=""/>
      <w:lvlJc w:val="left"/>
      <w:pPr>
        <w:tabs>
          <w:tab w:val="left" w:pos="-420"/>
        </w:tabs>
        <w:ind w:left="5040" w:hanging="360"/>
      </w:pPr>
      <w:rPr>
        <w:rFonts w:ascii="Symbol" w:hAnsi="Symbol" w:hint="default"/>
      </w:rPr>
    </w:lvl>
    <w:lvl w:ilvl="7">
      <w:start w:val="1"/>
      <w:numFmt w:val="bullet"/>
      <w:lvlText w:val="o"/>
      <w:lvlJc w:val="left"/>
      <w:pPr>
        <w:tabs>
          <w:tab w:val="left" w:pos="-420"/>
        </w:tabs>
        <w:ind w:left="5760" w:hanging="360"/>
      </w:pPr>
      <w:rPr>
        <w:rFonts w:ascii="Courier New" w:hAnsi="Courier New" w:cs="Courier New" w:hint="default"/>
      </w:rPr>
    </w:lvl>
    <w:lvl w:ilvl="8">
      <w:start w:val="1"/>
      <w:numFmt w:val="bullet"/>
      <w:lvlText w:val=""/>
      <w:lvlJc w:val="left"/>
      <w:pPr>
        <w:tabs>
          <w:tab w:val="left" w:pos="-420"/>
        </w:tabs>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E829F5"/>
    <w:multiLevelType w:val="hybridMultilevel"/>
    <w:tmpl w:val="91F86EDA"/>
    <w:lvl w:ilvl="0" w:tplc="5FFE1272">
      <w:start w:val="6"/>
      <w:numFmt w:val="bullet"/>
      <w:lvlText w:val="-"/>
      <w:lvlJc w:val="left"/>
      <w:pPr>
        <w:ind w:left="1260" w:hanging="420"/>
      </w:pPr>
      <w:rPr>
        <w:rFonts w:ascii="Arial" w:eastAsia="MS Mincho" w:hAnsi="Arial" w:cs="Arial" w:hint="default"/>
      </w:rPr>
    </w:lvl>
    <w:lvl w:ilvl="1" w:tplc="B7DE52EA">
      <w:start w:val="9"/>
      <w:numFmt w:val="bullet"/>
      <w:lvlText w:val="-"/>
      <w:lvlJc w:val="left"/>
      <w:pPr>
        <w:ind w:left="1680" w:hanging="420"/>
      </w:pPr>
      <w:rPr>
        <w:rFonts w:ascii="Calibri" w:eastAsiaTheme="minorHAnsi" w:hAnsi="Calibri" w:cs="Calibri" w:hint="default"/>
      </w:rPr>
    </w:lvl>
    <w:lvl w:ilvl="2" w:tplc="B7DE52EA">
      <w:start w:val="9"/>
      <w:numFmt w:val="bullet"/>
      <w:lvlText w:val="-"/>
      <w:lvlJc w:val="left"/>
      <w:pPr>
        <w:ind w:left="2100" w:hanging="420"/>
      </w:pPr>
      <w:rPr>
        <w:rFonts w:ascii="Calibri" w:eastAsiaTheme="minorHAnsi" w:hAnsi="Calibri" w:cs="Calibri"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BC60341"/>
    <w:multiLevelType w:val="hybridMultilevel"/>
    <w:tmpl w:val="EF52C76E"/>
    <w:lvl w:ilvl="0" w:tplc="5FFE1272">
      <w:start w:val="6"/>
      <w:numFmt w:val="bullet"/>
      <w:lvlText w:val="-"/>
      <w:lvlJc w:val="left"/>
      <w:pPr>
        <w:ind w:left="432" w:hanging="420"/>
      </w:pPr>
      <w:rPr>
        <w:rFonts w:ascii="Arial" w:eastAsia="MS Mincho" w:hAnsi="Arial" w:cs="Arial" w:hint="default"/>
      </w:rPr>
    </w:lvl>
    <w:lvl w:ilvl="1" w:tplc="04090003">
      <w:start w:val="1"/>
      <w:numFmt w:val="bullet"/>
      <w:lvlText w:val=""/>
      <w:lvlJc w:val="left"/>
      <w:pPr>
        <w:ind w:left="852" w:hanging="420"/>
      </w:pPr>
      <w:rPr>
        <w:rFonts w:ascii="Wingdings" w:hAnsi="Wingdings" w:hint="default"/>
      </w:rPr>
    </w:lvl>
    <w:lvl w:ilvl="2" w:tplc="04090005">
      <w:start w:val="1"/>
      <w:numFmt w:val="bullet"/>
      <w:lvlText w:val=""/>
      <w:lvlJc w:val="left"/>
      <w:pPr>
        <w:ind w:left="1272" w:hanging="420"/>
      </w:pPr>
      <w:rPr>
        <w:rFonts w:ascii="Wingdings" w:hAnsi="Wingdings" w:hint="default"/>
      </w:rPr>
    </w:lvl>
    <w:lvl w:ilvl="3" w:tplc="04090001">
      <w:start w:val="1"/>
      <w:numFmt w:val="bullet"/>
      <w:lvlText w:val=""/>
      <w:lvlJc w:val="left"/>
      <w:pPr>
        <w:ind w:left="1692" w:hanging="420"/>
      </w:pPr>
      <w:rPr>
        <w:rFonts w:ascii="Wingdings" w:hAnsi="Wingdings" w:hint="default"/>
      </w:rPr>
    </w:lvl>
    <w:lvl w:ilvl="4" w:tplc="04090003" w:tentative="1">
      <w:start w:val="1"/>
      <w:numFmt w:val="bullet"/>
      <w:lvlText w:val=""/>
      <w:lvlJc w:val="left"/>
      <w:pPr>
        <w:ind w:left="2112" w:hanging="420"/>
      </w:pPr>
      <w:rPr>
        <w:rFonts w:ascii="Wingdings" w:hAnsi="Wingdings" w:hint="default"/>
      </w:rPr>
    </w:lvl>
    <w:lvl w:ilvl="5" w:tplc="04090005" w:tentative="1">
      <w:start w:val="1"/>
      <w:numFmt w:val="bullet"/>
      <w:lvlText w:val=""/>
      <w:lvlJc w:val="left"/>
      <w:pPr>
        <w:ind w:left="2532" w:hanging="420"/>
      </w:pPr>
      <w:rPr>
        <w:rFonts w:ascii="Wingdings" w:hAnsi="Wingdings" w:hint="default"/>
      </w:rPr>
    </w:lvl>
    <w:lvl w:ilvl="6" w:tplc="04090001" w:tentative="1">
      <w:start w:val="1"/>
      <w:numFmt w:val="bullet"/>
      <w:lvlText w:val=""/>
      <w:lvlJc w:val="left"/>
      <w:pPr>
        <w:ind w:left="2952" w:hanging="420"/>
      </w:pPr>
      <w:rPr>
        <w:rFonts w:ascii="Wingdings" w:hAnsi="Wingdings" w:hint="default"/>
      </w:rPr>
    </w:lvl>
    <w:lvl w:ilvl="7" w:tplc="04090003" w:tentative="1">
      <w:start w:val="1"/>
      <w:numFmt w:val="bullet"/>
      <w:lvlText w:val=""/>
      <w:lvlJc w:val="left"/>
      <w:pPr>
        <w:ind w:left="3372" w:hanging="420"/>
      </w:pPr>
      <w:rPr>
        <w:rFonts w:ascii="Wingdings" w:hAnsi="Wingdings" w:hint="default"/>
      </w:rPr>
    </w:lvl>
    <w:lvl w:ilvl="8" w:tplc="04090005" w:tentative="1">
      <w:start w:val="1"/>
      <w:numFmt w:val="bullet"/>
      <w:lvlText w:val=""/>
      <w:lvlJc w:val="left"/>
      <w:pPr>
        <w:ind w:left="3792" w:hanging="420"/>
      </w:pPr>
      <w:rPr>
        <w:rFonts w:ascii="Wingdings" w:hAnsi="Wingdings" w:hint="default"/>
      </w:rPr>
    </w:lvl>
  </w:abstractNum>
  <w:abstractNum w:abstractNumId="11" w15:restartNumberingAfterBreak="0">
    <w:nsid w:val="2DBB173C"/>
    <w:multiLevelType w:val="hybridMultilevel"/>
    <w:tmpl w:val="F35EF454"/>
    <w:lvl w:ilvl="0" w:tplc="06961C84">
      <w:start w:val="1"/>
      <w:numFmt w:val="decimal"/>
      <w:lvlText w:val="%1."/>
      <w:lvlJc w:val="left"/>
      <w:pPr>
        <w:ind w:left="420" w:hanging="420"/>
      </w:pPr>
      <w:rPr>
        <w:rFonts w:hint="default"/>
      </w:rPr>
    </w:lvl>
    <w:lvl w:ilvl="1" w:tplc="C5BC64FA">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4350E9"/>
    <w:multiLevelType w:val="hybridMultilevel"/>
    <w:tmpl w:val="9A34657E"/>
    <w:lvl w:ilvl="0" w:tplc="D1228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8B273B"/>
    <w:multiLevelType w:val="hybridMultilevel"/>
    <w:tmpl w:val="F050B7F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680083"/>
    <w:multiLevelType w:val="multilevel"/>
    <w:tmpl w:val="6B7284FE"/>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55F14BC"/>
    <w:multiLevelType w:val="hybridMultilevel"/>
    <w:tmpl w:val="78D2B606"/>
    <w:lvl w:ilvl="0" w:tplc="72CC6A5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1B42C5"/>
    <w:multiLevelType w:val="hybridMultilevel"/>
    <w:tmpl w:val="32AC4EFA"/>
    <w:lvl w:ilvl="0" w:tplc="B1EE64E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AE0EB2"/>
    <w:multiLevelType w:val="hybridMultilevel"/>
    <w:tmpl w:val="1C621A9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E86408"/>
    <w:multiLevelType w:val="hybridMultilevel"/>
    <w:tmpl w:val="7FE63A4A"/>
    <w:lvl w:ilvl="0" w:tplc="5FFE1272">
      <w:start w:val="6"/>
      <w:numFmt w:val="bullet"/>
      <w:lvlText w:val="-"/>
      <w:lvlJc w:val="left"/>
      <w:pPr>
        <w:ind w:left="1260" w:hanging="420"/>
      </w:pPr>
      <w:rPr>
        <w:rFonts w:ascii="Arial" w:eastAsia="MS Mincho" w:hAnsi="Arial" w:cs="Arial" w:hint="default"/>
      </w:rPr>
    </w:lvl>
    <w:lvl w:ilvl="1" w:tplc="04090003">
      <w:start w:val="1"/>
      <w:numFmt w:val="bullet"/>
      <w:lvlText w:val=""/>
      <w:lvlJc w:val="left"/>
      <w:pPr>
        <w:ind w:left="1680" w:hanging="420"/>
      </w:pPr>
      <w:rPr>
        <w:rFonts w:ascii="Wingdings" w:hAnsi="Wingdings" w:hint="default"/>
      </w:rPr>
    </w:lvl>
    <w:lvl w:ilvl="2" w:tplc="B7DE52EA">
      <w:start w:val="9"/>
      <w:numFmt w:val="bullet"/>
      <w:lvlText w:val="-"/>
      <w:lvlJc w:val="left"/>
      <w:pPr>
        <w:ind w:left="2100" w:hanging="420"/>
      </w:pPr>
      <w:rPr>
        <w:rFonts w:ascii="Calibri" w:eastAsiaTheme="minorHAnsi" w:hAnsi="Calibri" w:cs="Calibri"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1B359F8"/>
    <w:multiLevelType w:val="hybridMultilevel"/>
    <w:tmpl w:val="8FCC01E6"/>
    <w:lvl w:ilvl="0" w:tplc="DA4ADB98">
      <w:start w:val="4"/>
      <w:numFmt w:val="bullet"/>
      <w:lvlText w:val="-"/>
      <w:lvlJc w:val="left"/>
      <w:pPr>
        <w:ind w:left="780" w:hanging="420"/>
      </w:pPr>
      <w:rPr>
        <w:rFonts w:ascii="Arial" w:eastAsia="Yu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5997722"/>
    <w:multiLevelType w:val="hybridMultilevel"/>
    <w:tmpl w:val="FFE0DB40"/>
    <w:lvl w:ilvl="0" w:tplc="832A7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092B2F"/>
    <w:multiLevelType w:val="multilevel"/>
    <w:tmpl w:val="D01AF85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25" w15:restartNumberingAfterBreak="0">
    <w:nsid w:val="67267C66"/>
    <w:multiLevelType w:val="multilevel"/>
    <w:tmpl w:val="C66CC6D8"/>
    <w:lvl w:ilvl="0">
      <w:start w:val="1"/>
      <w:numFmt w:val="bullet"/>
      <w:lvlText w:val="o"/>
      <w:lvlJc w:val="left"/>
      <w:pPr>
        <w:ind w:left="360" w:hanging="360"/>
      </w:pPr>
      <w:rPr>
        <w:rFonts w:ascii="Courier New" w:hAnsi="Courier New" w:cs="Courier New" w:hint="default"/>
        <w:lang w:val="en-GB"/>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374FA7"/>
    <w:multiLevelType w:val="multilevel"/>
    <w:tmpl w:val="1F00A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6C0433"/>
    <w:multiLevelType w:val="multilevel"/>
    <w:tmpl w:val="7FD47460"/>
    <w:lvl w:ilvl="0">
      <w:start w:val="5"/>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6EE511DF"/>
    <w:multiLevelType w:val="multilevel"/>
    <w:tmpl w:val="6EE511DF"/>
    <w:lvl w:ilvl="0">
      <w:start w:val="1"/>
      <w:numFmt w:val="decimal"/>
      <w:lvlText w:val="Observation %1"/>
      <w:lvlJc w:val="left"/>
      <w:pPr>
        <w:ind w:left="840"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31"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60E4D4F"/>
    <w:multiLevelType w:val="hybridMultilevel"/>
    <w:tmpl w:val="1C6242EA"/>
    <w:lvl w:ilvl="0" w:tplc="5FFE1272">
      <w:start w:val="6"/>
      <w:numFmt w:val="bullet"/>
      <w:lvlText w:val="-"/>
      <w:lvlJc w:val="left"/>
      <w:pPr>
        <w:ind w:left="840" w:hanging="420"/>
      </w:pPr>
      <w:rPr>
        <w:rFonts w:ascii="Arial" w:eastAsia="MS Mincho" w:hAnsi="Arial" w:cs="Arial" w:hint="default"/>
      </w:rPr>
    </w:lvl>
    <w:lvl w:ilvl="1" w:tplc="B7DE52EA">
      <w:start w:val="9"/>
      <w:numFmt w:val="bullet"/>
      <w:lvlText w:val="-"/>
      <w:lvlJc w:val="left"/>
      <w:pPr>
        <w:ind w:left="1260" w:hanging="420"/>
      </w:pPr>
      <w:rPr>
        <w:rFonts w:ascii="Calibri" w:eastAsiaTheme="minorHAnsi" w:hAnsi="Calibri" w:cs="Calibri" w:hint="default"/>
      </w:rPr>
    </w:lvl>
    <w:lvl w:ilvl="2" w:tplc="B7DE52EA">
      <w:start w:val="9"/>
      <w:numFmt w:val="bullet"/>
      <w:lvlText w:val="-"/>
      <w:lvlJc w:val="left"/>
      <w:pPr>
        <w:ind w:left="1680" w:hanging="420"/>
      </w:pPr>
      <w:rPr>
        <w:rFonts w:ascii="Calibri" w:eastAsiaTheme="minorHAnsi" w:hAnsi="Calibri" w:cs="Calibr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88E3FBF"/>
    <w:multiLevelType w:val="hybridMultilevel"/>
    <w:tmpl w:val="68AA9AE0"/>
    <w:lvl w:ilvl="0" w:tplc="9DBA9264">
      <w:start w:val="1"/>
      <w:numFmt w:val="decimal"/>
      <w:lvlText w:val="%1."/>
      <w:lvlJc w:val="left"/>
      <w:pPr>
        <w:ind w:left="1619" w:hanging="360"/>
      </w:pPr>
      <w:rPr>
        <w:rFonts w:hint="default"/>
      </w:rPr>
    </w:lvl>
    <w:lvl w:ilvl="1" w:tplc="F77E23F2">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97C5EA5"/>
    <w:multiLevelType w:val="multilevel"/>
    <w:tmpl w:val="25AC9A9C"/>
    <w:lvl w:ilvl="0">
      <w:start w:val="1"/>
      <w:numFmt w:val="decimal"/>
      <w:lvlText w:val="Observation %1"/>
      <w:lvlJc w:val="left"/>
      <w:pPr>
        <w:ind w:left="132" w:hanging="132"/>
      </w:pPr>
      <w:rPr>
        <w:rFonts w:hint="eastAsia"/>
      </w:rPr>
    </w:lvl>
    <w:lvl w:ilvl="1">
      <w:start w:val="1"/>
      <w:numFmt w:val="lowerLetter"/>
      <w:lvlText w:val="%2)"/>
      <w:lvlJc w:val="left"/>
      <w:pPr>
        <w:ind w:left="-156" w:hanging="420"/>
      </w:pPr>
      <w:rPr>
        <w:rFonts w:hint="eastAsia"/>
      </w:rPr>
    </w:lvl>
    <w:lvl w:ilvl="2">
      <w:start w:val="1"/>
      <w:numFmt w:val="lowerRoman"/>
      <w:lvlText w:val="%3."/>
      <w:lvlJc w:val="right"/>
      <w:pPr>
        <w:ind w:left="264" w:hanging="420"/>
      </w:pPr>
      <w:rPr>
        <w:rFonts w:hint="eastAsia"/>
      </w:rPr>
    </w:lvl>
    <w:lvl w:ilvl="3">
      <w:start w:val="1"/>
      <w:numFmt w:val="decimal"/>
      <w:lvlText w:val="%4."/>
      <w:lvlJc w:val="left"/>
      <w:pPr>
        <w:ind w:left="684" w:hanging="420"/>
      </w:pPr>
      <w:rPr>
        <w:rFonts w:hint="eastAsia"/>
      </w:rPr>
    </w:lvl>
    <w:lvl w:ilvl="4">
      <w:start w:val="1"/>
      <w:numFmt w:val="lowerLetter"/>
      <w:lvlText w:val="%5)"/>
      <w:lvlJc w:val="left"/>
      <w:pPr>
        <w:ind w:left="1104" w:hanging="420"/>
      </w:pPr>
      <w:rPr>
        <w:rFonts w:hint="eastAsia"/>
      </w:rPr>
    </w:lvl>
    <w:lvl w:ilvl="5">
      <w:start w:val="1"/>
      <w:numFmt w:val="lowerRoman"/>
      <w:lvlText w:val="%6."/>
      <w:lvlJc w:val="right"/>
      <w:pPr>
        <w:ind w:left="1524" w:hanging="420"/>
      </w:pPr>
      <w:rPr>
        <w:rFonts w:hint="eastAsia"/>
      </w:rPr>
    </w:lvl>
    <w:lvl w:ilvl="6">
      <w:start w:val="1"/>
      <w:numFmt w:val="decimal"/>
      <w:lvlText w:val="%7."/>
      <w:lvlJc w:val="left"/>
      <w:pPr>
        <w:ind w:left="1944" w:hanging="420"/>
      </w:pPr>
      <w:rPr>
        <w:rFonts w:hint="eastAsia"/>
      </w:rPr>
    </w:lvl>
    <w:lvl w:ilvl="7">
      <w:start w:val="1"/>
      <w:numFmt w:val="lowerLetter"/>
      <w:lvlText w:val="%8)"/>
      <w:lvlJc w:val="left"/>
      <w:pPr>
        <w:ind w:left="2364" w:hanging="420"/>
      </w:pPr>
      <w:rPr>
        <w:rFonts w:hint="eastAsia"/>
      </w:rPr>
    </w:lvl>
    <w:lvl w:ilvl="8">
      <w:start w:val="1"/>
      <w:numFmt w:val="lowerRoman"/>
      <w:lvlText w:val="%9."/>
      <w:lvlJc w:val="right"/>
      <w:pPr>
        <w:ind w:left="2784" w:hanging="420"/>
      </w:pPr>
      <w:rPr>
        <w:rFonts w:hint="eastAsia"/>
      </w:rPr>
    </w:lvl>
  </w:abstractNum>
  <w:num w:numId="1">
    <w:abstractNumId w:val="21"/>
  </w:num>
  <w:num w:numId="2">
    <w:abstractNumId w:val="30"/>
  </w:num>
  <w:num w:numId="3">
    <w:abstractNumId w:val="27"/>
  </w:num>
  <w:num w:numId="4">
    <w:abstractNumId w:val="17"/>
  </w:num>
  <w:num w:numId="5">
    <w:abstractNumId w:val="11"/>
  </w:num>
  <w:num w:numId="6">
    <w:abstractNumId w:val="12"/>
  </w:num>
  <w:num w:numId="7">
    <w:abstractNumId w:val="0"/>
  </w:num>
  <w:num w:numId="8">
    <w:abstractNumId w:val="6"/>
  </w:num>
  <w:num w:numId="9">
    <w:abstractNumId w:val="5"/>
  </w:num>
  <w:num w:numId="10">
    <w:abstractNumId w:val="34"/>
  </w:num>
  <w:num w:numId="11">
    <w:abstractNumId w:val="14"/>
  </w:num>
  <w:num w:numId="12">
    <w:abstractNumId w:val="19"/>
  </w:num>
  <w:num w:numId="13">
    <w:abstractNumId w:val="16"/>
  </w:num>
  <w:num w:numId="14">
    <w:abstractNumId w:val="28"/>
  </w:num>
  <w:num w:numId="15">
    <w:abstractNumId w:val="4"/>
  </w:num>
  <w:num w:numId="16">
    <w:abstractNumId w:val="13"/>
  </w:num>
  <w:num w:numId="17">
    <w:abstractNumId w:val="23"/>
  </w:num>
  <w:num w:numId="18">
    <w:abstractNumId w:val="1"/>
  </w:num>
  <w:num w:numId="19">
    <w:abstractNumId w:val="24"/>
  </w:num>
  <w:num w:numId="20">
    <w:abstractNumId w:val="3"/>
  </w:num>
  <w:num w:numId="21">
    <w:abstractNumId w:val="10"/>
  </w:num>
  <w:num w:numId="22">
    <w:abstractNumId w:val="20"/>
  </w:num>
  <w:num w:numId="23">
    <w:abstractNumId w:val="32"/>
  </w:num>
  <w:num w:numId="24">
    <w:abstractNumId w:val="9"/>
  </w:num>
  <w:num w:numId="25">
    <w:abstractNumId w:val="26"/>
  </w:num>
  <w:num w:numId="26">
    <w:abstractNumId w:val="15"/>
  </w:num>
  <w:num w:numId="27">
    <w:abstractNumId w:val="25"/>
  </w:num>
  <w:num w:numId="28">
    <w:abstractNumId w:val="8"/>
  </w:num>
  <w:num w:numId="29">
    <w:abstractNumId w:val="21"/>
  </w:num>
  <w:num w:numId="30">
    <w:abstractNumId w:val="21"/>
  </w:num>
  <w:num w:numId="31">
    <w:abstractNumId w:val="21"/>
  </w:num>
  <w:num w:numId="32">
    <w:abstractNumId w:val="21"/>
  </w:num>
  <w:num w:numId="33">
    <w:abstractNumId w:val="21"/>
  </w:num>
  <w:num w:numId="34">
    <w:abstractNumId w:val="18"/>
  </w:num>
  <w:num w:numId="35">
    <w:abstractNumId w:val="22"/>
  </w:num>
  <w:num w:numId="36">
    <w:abstractNumId w:val="29"/>
  </w:num>
  <w:num w:numId="37">
    <w:abstractNumId w:val="31"/>
  </w:num>
  <w:num w:numId="38">
    <w:abstractNumId w:val="7"/>
  </w:num>
  <w:num w:numId="39">
    <w:abstractNumId w:val="33"/>
  </w:num>
  <w:num w:numId="4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tKwFAMQHAYktAAAA"/>
  </w:docVars>
  <w:rsids>
    <w:rsidRoot w:val="005017F6"/>
    <w:rsid w:val="00001960"/>
    <w:rsid w:val="00002345"/>
    <w:rsid w:val="00005B8C"/>
    <w:rsid w:val="000062DB"/>
    <w:rsid w:val="00006914"/>
    <w:rsid w:val="00007EE5"/>
    <w:rsid w:val="00013CA5"/>
    <w:rsid w:val="00016102"/>
    <w:rsid w:val="00024732"/>
    <w:rsid w:val="0003448A"/>
    <w:rsid w:val="00034AE9"/>
    <w:rsid w:val="0004041C"/>
    <w:rsid w:val="00043BD2"/>
    <w:rsid w:val="000444C5"/>
    <w:rsid w:val="00047F8F"/>
    <w:rsid w:val="00050EF2"/>
    <w:rsid w:val="000533A8"/>
    <w:rsid w:val="000564E0"/>
    <w:rsid w:val="000571A9"/>
    <w:rsid w:val="0006132B"/>
    <w:rsid w:val="000671EB"/>
    <w:rsid w:val="000723B5"/>
    <w:rsid w:val="00072BB7"/>
    <w:rsid w:val="00076321"/>
    <w:rsid w:val="0007748A"/>
    <w:rsid w:val="00077CB0"/>
    <w:rsid w:val="00082469"/>
    <w:rsid w:val="00090FF2"/>
    <w:rsid w:val="0009320A"/>
    <w:rsid w:val="000A109C"/>
    <w:rsid w:val="000A3A3B"/>
    <w:rsid w:val="000A3D5E"/>
    <w:rsid w:val="000B37DE"/>
    <w:rsid w:val="000B3C82"/>
    <w:rsid w:val="000B5322"/>
    <w:rsid w:val="000C09E3"/>
    <w:rsid w:val="000C63B9"/>
    <w:rsid w:val="000D1932"/>
    <w:rsid w:val="000E758D"/>
    <w:rsid w:val="000F0640"/>
    <w:rsid w:val="000F1834"/>
    <w:rsid w:val="000F2300"/>
    <w:rsid w:val="000F5CB4"/>
    <w:rsid w:val="001121CD"/>
    <w:rsid w:val="001129D4"/>
    <w:rsid w:val="0012124C"/>
    <w:rsid w:val="00124338"/>
    <w:rsid w:val="00124D23"/>
    <w:rsid w:val="00125126"/>
    <w:rsid w:val="001334F5"/>
    <w:rsid w:val="0013461B"/>
    <w:rsid w:val="001410D9"/>
    <w:rsid w:val="001445FB"/>
    <w:rsid w:val="001448D5"/>
    <w:rsid w:val="00144F93"/>
    <w:rsid w:val="00145D77"/>
    <w:rsid w:val="00146B42"/>
    <w:rsid w:val="001503E6"/>
    <w:rsid w:val="00151A8D"/>
    <w:rsid w:val="0016728C"/>
    <w:rsid w:val="0016785A"/>
    <w:rsid w:val="0017273B"/>
    <w:rsid w:val="00172F0A"/>
    <w:rsid w:val="00175DE9"/>
    <w:rsid w:val="001773EA"/>
    <w:rsid w:val="0018320C"/>
    <w:rsid w:val="001839A8"/>
    <w:rsid w:val="00194C84"/>
    <w:rsid w:val="00196426"/>
    <w:rsid w:val="00196A86"/>
    <w:rsid w:val="001A25FC"/>
    <w:rsid w:val="001A2E65"/>
    <w:rsid w:val="001A3242"/>
    <w:rsid w:val="001A5E91"/>
    <w:rsid w:val="001B25C5"/>
    <w:rsid w:val="001B30CB"/>
    <w:rsid w:val="001B49D5"/>
    <w:rsid w:val="001B666D"/>
    <w:rsid w:val="001B73E8"/>
    <w:rsid w:val="001C6BA0"/>
    <w:rsid w:val="001E5F9D"/>
    <w:rsid w:val="001F0086"/>
    <w:rsid w:val="001F16CB"/>
    <w:rsid w:val="001F67D2"/>
    <w:rsid w:val="001F7AB2"/>
    <w:rsid w:val="002071D2"/>
    <w:rsid w:val="00211D99"/>
    <w:rsid w:val="002122BE"/>
    <w:rsid w:val="00214A6C"/>
    <w:rsid w:val="002213A4"/>
    <w:rsid w:val="00234E4F"/>
    <w:rsid w:val="00237A3F"/>
    <w:rsid w:val="002401CC"/>
    <w:rsid w:val="00244848"/>
    <w:rsid w:val="00252BBF"/>
    <w:rsid w:val="002541C7"/>
    <w:rsid w:val="00255A63"/>
    <w:rsid w:val="00261D01"/>
    <w:rsid w:val="00261DAB"/>
    <w:rsid w:val="00262867"/>
    <w:rsid w:val="00265428"/>
    <w:rsid w:val="0026661A"/>
    <w:rsid w:val="00274633"/>
    <w:rsid w:val="00284C62"/>
    <w:rsid w:val="002855E3"/>
    <w:rsid w:val="00290938"/>
    <w:rsid w:val="00292F23"/>
    <w:rsid w:val="0029610D"/>
    <w:rsid w:val="002A11F0"/>
    <w:rsid w:val="002A5A4C"/>
    <w:rsid w:val="002A5FBD"/>
    <w:rsid w:val="002A7394"/>
    <w:rsid w:val="002B1637"/>
    <w:rsid w:val="002B351A"/>
    <w:rsid w:val="002B525E"/>
    <w:rsid w:val="002C0F70"/>
    <w:rsid w:val="002C224D"/>
    <w:rsid w:val="002C273C"/>
    <w:rsid w:val="002C3C4B"/>
    <w:rsid w:val="002C4919"/>
    <w:rsid w:val="002C5C16"/>
    <w:rsid w:val="002C7108"/>
    <w:rsid w:val="002D0A64"/>
    <w:rsid w:val="002D167B"/>
    <w:rsid w:val="002D1FCD"/>
    <w:rsid w:val="002D4C70"/>
    <w:rsid w:val="002D5035"/>
    <w:rsid w:val="002D71FF"/>
    <w:rsid w:val="002E2672"/>
    <w:rsid w:val="002E7299"/>
    <w:rsid w:val="002F730D"/>
    <w:rsid w:val="00300A85"/>
    <w:rsid w:val="00307F91"/>
    <w:rsid w:val="00312C56"/>
    <w:rsid w:val="00313019"/>
    <w:rsid w:val="003138B3"/>
    <w:rsid w:val="003144E6"/>
    <w:rsid w:val="003153AB"/>
    <w:rsid w:val="00315677"/>
    <w:rsid w:val="00317456"/>
    <w:rsid w:val="0031774E"/>
    <w:rsid w:val="00320462"/>
    <w:rsid w:val="003218E5"/>
    <w:rsid w:val="00321CC2"/>
    <w:rsid w:val="00323BF5"/>
    <w:rsid w:val="00324D8F"/>
    <w:rsid w:val="0032586D"/>
    <w:rsid w:val="00325E04"/>
    <w:rsid w:val="003272A9"/>
    <w:rsid w:val="003322C6"/>
    <w:rsid w:val="003357EC"/>
    <w:rsid w:val="0033744A"/>
    <w:rsid w:val="00342D99"/>
    <w:rsid w:val="00343E37"/>
    <w:rsid w:val="003456F1"/>
    <w:rsid w:val="00347826"/>
    <w:rsid w:val="00347CAD"/>
    <w:rsid w:val="00352964"/>
    <w:rsid w:val="003603BB"/>
    <w:rsid w:val="00361115"/>
    <w:rsid w:val="003764A7"/>
    <w:rsid w:val="0038200A"/>
    <w:rsid w:val="00385BCD"/>
    <w:rsid w:val="00386243"/>
    <w:rsid w:val="00386C63"/>
    <w:rsid w:val="00391C27"/>
    <w:rsid w:val="00392CF2"/>
    <w:rsid w:val="00394320"/>
    <w:rsid w:val="00394D3B"/>
    <w:rsid w:val="003A2AEA"/>
    <w:rsid w:val="003A7B83"/>
    <w:rsid w:val="003B2685"/>
    <w:rsid w:val="003B4E47"/>
    <w:rsid w:val="003B6ECD"/>
    <w:rsid w:val="003B70E0"/>
    <w:rsid w:val="003B7ED8"/>
    <w:rsid w:val="003C4AFA"/>
    <w:rsid w:val="003D3799"/>
    <w:rsid w:val="003D79D8"/>
    <w:rsid w:val="003E1ADD"/>
    <w:rsid w:val="003E6B29"/>
    <w:rsid w:val="003E6F5F"/>
    <w:rsid w:val="003E73FA"/>
    <w:rsid w:val="003E7FE5"/>
    <w:rsid w:val="003F5429"/>
    <w:rsid w:val="00402EDF"/>
    <w:rsid w:val="00405E9F"/>
    <w:rsid w:val="00413C3F"/>
    <w:rsid w:val="00415E40"/>
    <w:rsid w:val="00421DE0"/>
    <w:rsid w:val="004229EB"/>
    <w:rsid w:val="00426501"/>
    <w:rsid w:val="00427623"/>
    <w:rsid w:val="00431DA5"/>
    <w:rsid w:val="00443C69"/>
    <w:rsid w:val="00444819"/>
    <w:rsid w:val="004526A5"/>
    <w:rsid w:val="00453F8F"/>
    <w:rsid w:val="00470277"/>
    <w:rsid w:val="00472682"/>
    <w:rsid w:val="00483AEE"/>
    <w:rsid w:val="00497E28"/>
    <w:rsid w:val="004A21A1"/>
    <w:rsid w:val="004B25D6"/>
    <w:rsid w:val="004B353F"/>
    <w:rsid w:val="004B4466"/>
    <w:rsid w:val="004B502D"/>
    <w:rsid w:val="004B65EC"/>
    <w:rsid w:val="004B6B90"/>
    <w:rsid w:val="004D0653"/>
    <w:rsid w:val="004D3AC6"/>
    <w:rsid w:val="004D57D6"/>
    <w:rsid w:val="004D6095"/>
    <w:rsid w:val="004E29CA"/>
    <w:rsid w:val="004F4859"/>
    <w:rsid w:val="004F599D"/>
    <w:rsid w:val="004F7180"/>
    <w:rsid w:val="004F773B"/>
    <w:rsid w:val="00500EFE"/>
    <w:rsid w:val="005017F6"/>
    <w:rsid w:val="005256A9"/>
    <w:rsid w:val="00525F28"/>
    <w:rsid w:val="005302B6"/>
    <w:rsid w:val="00536C5B"/>
    <w:rsid w:val="00541641"/>
    <w:rsid w:val="005434A7"/>
    <w:rsid w:val="00545549"/>
    <w:rsid w:val="0055188C"/>
    <w:rsid w:val="00552575"/>
    <w:rsid w:val="00554881"/>
    <w:rsid w:val="00554D89"/>
    <w:rsid w:val="00565861"/>
    <w:rsid w:val="00567DAC"/>
    <w:rsid w:val="00570B31"/>
    <w:rsid w:val="00572C05"/>
    <w:rsid w:val="00587C67"/>
    <w:rsid w:val="005919D3"/>
    <w:rsid w:val="00594A61"/>
    <w:rsid w:val="00595412"/>
    <w:rsid w:val="00595F93"/>
    <w:rsid w:val="005A7C5A"/>
    <w:rsid w:val="005B2BD1"/>
    <w:rsid w:val="005B5641"/>
    <w:rsid w:val="005C03EF"/>
    <w:rsid w:val="005C100D"/>
    <w:rsid w:val="005D4125"/>
    <w:rsid w:val="005E0604"/>
    <w:rsid w:val="005E09FF"/>
    <w:rsid w:val="005E0E21"/>
    <w:rsid w:val="005E223A"/>
    <w:rsid w:val="005E3703"/>
    <w:rsid w:val="005E6041"/>
    <w:rsid w:val="00600071"/>
    <w:rsid w:val="006011D9"/>
    <w:rsid w:val="00615EEA"/>
    <w:rsid w:val="00624E50"/>
    <w:rsid w:val="00627DD6"/>
    <w:rsid w:val="00630691"/>
    <w:rsid w:val="00632C7E"/>
    <w:rsid w:val="006331C2"/>
    <w:rsid w:val="006334E7"/>
    <w:rsid w:val="0063363B"/>
    <w:rsid w:val="006348F6"/>
    <w:rsid w:val="006406BD"/>
    <w:rsid w:val="006419F8"/>
    <w:rsid w:val="006460E8"/>
    <w:rsid w:val="00647CCD"/>
    <w:rsid w:val="00652880"/>
    <w:rsid w:val="00656556"/>
    <w:rsid w:val="0065726C"/>
    <w:rsid w:val="00657422"/>
    <w:rsid w:val="00660064"/>
    <w:rsid w:val="00662226"/>
    <w:rsid w:val="006631C6"/>
    <w:rsid w:val="00670BA2"/>
    <w:rsid w:val="00675CA4"/>
    <w:rsid w:val="00682551"/>
    <w:rsid w:val="00682B3E"/>
    <w:rsid w:val="006836E3"/>
    <w:rsid w:val="00690A1F"/>
    <w:rsid w:val="006A1BE8"/>
    <w:rsid w:val="006A4A65"/>
    <w:rsid w:val="006B0026"/>
    <w:rsid w:val="006B3AA3"/>
    <w:rsid w:val="006B60A4"/>
    <w:rsid w:val="006C3494"/>
    <w:rsid w:val="006D0631"/>
    <w:rsid w:val="006D334A"/>
    <w:rsid w:val="006D5381"/>
    <w:rsid w:val="006D7564"/>
    <w:rsid w:val="006E40FD"/>
    <w:rsid w:val="006E7231"/>
    <w:rsid w:val="006E764C"/>
    <w:rsid w:val="006F7AB6"/>
    <w:rsid w:val="0070744E"/>
    <w:rsid w:val="0071189E"/>
    <w:rsid w:val="00711ED1"/>
    <w:rsid w:val="00712E4A"/>
    <w:rsid w:val="00715906"/>
    <w:rsid w:val="007174F5"/>
    <w:rsid w:val="00723DCC"/>
    <w:rsid w:val="0073196B"/>
    <w:rsid w:val="0073208B"/>
    <w:rsid w:val="00742F74"/>
    <w:rsid w:val="00743F8C"/>
    <w:rsid w:val="0075329E"/>
    <w:rsid w:val="00753B3B"/>
    <w:rsid w:val="00756311"/>
    <w:rsid w:val="00760E51"/>
    <w:rsid w:val="007619C8"/>
    <w:rsid w:val="00762D81"/>
    <w:rsid w:val="00764114"/>
    <w:rsid w:val="007650EB"/>
    <w:rsid w:val="007657B5"/>
    <w:rsid w:val="00766FA1"/>
    <w:rsid w:val="00772CCD"/>
    <w:rsid w:val="0077319E"/>
    <w:rsid w:val="00775F8A"/>
    <w:rsid w:val="007801CA"/>
    <w:rsid w:val="00780570"/>
    <w:rsid w:val="007828FC"/>
    <w:rsid w:val="00783BAF"/>
    <w:rsid w:val="00787D5C"/>
    <w:rsid w:val="0079022C"/>
    <w:rsid w:val="00792086"/>
    <w:rsid w:val="007933C2"/>
    <w:rsid w:val="007942B8"/>
    <w:rsid w:val="007A70E3"/>
    <w:rsid w:val="007B4D2B"/>
    <w:rsid w:val="007B5135"/>
    <w:rsid w:val="007B68E3"/>
    <w:rsid w:val="007C1459"/>
    <w:rsid w:val="007C4123"/>
    <w:rsid w:val="007C5C55"/>
    <w:rsid w:val="007C6E09"/>
    <w:rsid w:val="007C761D"/>
    <w:rsid w:val="007D17F7"/>
    <w:rsid w:val="007E197F"/>
    <w:rsid w:val="007E32BD"/>
    <w:rsid w:val="007E3E34"/>
    <w:rsid w:val="007E4870"/>
    <w:rsid w:val="007E4BAC"/>
    <w:rsid w:val="007E600B"/>
    <w:rsid w:val="007E77EF"/>
    <w:rsid w:val="00801DA2"/>
    <w:rsid w:val="00804755"/>
    <w:rsid w:val="008054A4"/>
    <w:rsid w:val="00806010"/>
    <w:rsid w:val="00806946"/>
    <w:rsid w:val="008076BD"/>
    <w:rsid w:val="00815776"/>
    <w:rsid w:val="008158E4"/>
    <w:rsid w:val="008163B3"/>
    <w:rsid w:val="00826F6D"/>
    <w:rsid w:val="00831490"/>
    <w:rsid w:val="00834B93"/>
    <w:rsid w:val="008419DD"/>
    <w:rsid w:val="00841F7E"/>
    <w:rsid w:val="00853BCA"/>
    <w:rsid w:val="00866230"/>
    <w:rsid w:val="008701BA"/>
    <w:rsid w:val="008703FD"/>
    <w:rsid w:val="00882833"/>
    <w:rsid w:val="00885FC7"/>
    <w:rsid w:val="008964AB"/>
    <w:rsid w:val="008A0860"/>
    <w:rsid w:val="008A52CB"/>
    <w:rsid w:val="008B04C0"/>
    <w:rsid w:val="008B6F22"/>
    <w:rsid w:val="008B7416"/>
    <w:rsid w:val="008B7DCD"/>
    <w:rsid w:val="008C69C6"/>
    <w:rsid w:val="008D2459"/>
    <w:rsid w:val="008D6FFA"/>
    <w:rsid w:val="008E08F7"/>
    <w:rsid w:val="008E42D7"/>
    <w:rsid w:val="008F101E"/>
    <w:rsid w:val="008F1E1E"/>
    <w:rsid w:val="00911157"/>
    <w:rsid w:val="0091483E"/>
    <w:rsid w:val="00926A2C"/>
    <w:rsid w:val="009320AD"/>
    <w:rsid w:val="009350B8"/>
    <w:rsid w:val="009405CF"/>
    <w:rsid w:val="0094373E"/>
    <w:rsid w:val="00946395"/>
    <w:rsid w:val="0095244B"/>
    <w:rsid w:val="00955131"/>
    <w:rsid w:val="009557B4"/>
    <w:rsid w:val="00956ABE"/>
    <w:rsid w:val="0096319C"/>
    <w:rsid w:val="00966CC4"/>
    <w:rsid w:val="00970C8D"/>
    <w:rsid w:val="00972334"/>
    <w:rsid w:val="0097336A"/>
    <w:rsid w:val="00977917"/>
    <w:rsid w:val="009807FA"/>
    <w:rsid w:val="00980CA1"/>
    <w:rsid w:val="00991B02"/>
    <w:rsid w:val="00995C5B"/>
    <w:rsid w:val="009A3890"/>
    <w:rsid w:val="009A4A8D"/>
    <w:rsid w:val="009A5E48"/>
    <w:rsid w:val="009A760A"/>
    <w:rsid w:val="009A7F5B"/>
    <w:rsid w:val="009B0B37"/>
    <w:rsid w:val="009B4524"/>
    <w:rsid w:val="009B7AAC"/>
    <w:rsid w:val="009C0CE5"/>
    <w:rsid w:val="009C2B9D"/>
    <w:rsid w:val="009C3A6F"/>
    <w:rsid w:val="009D20AB"/>
    <w:rsid w:val="009D2505"/>
    <w:rsid w:val="009D7E53"/>
    <w:rsid w:val="009F00D3"/>
    <w:rsid w:val="009F7027"/>
    <w:rsid w:val="00A03F0A"/>
    <w:rsid w:val="00A05584"/>
    <w:rsid w:val="00A10FB9"/>
    <w:rsid w:val="00A2154F"/>
    <w:rsid w:val="00A239CF"/>
    <w:rsid w:val="00A2414B"/>
    <w:rsid w:val="00A2646E"/>
    <w:rsid w:val="00A36B0F"/>
    <w:rsid w:val="00A44398"/>
    <w:rsid w:val="00A44CEE"/>
    <w:rsid w:val="00A45AEF"/>
    <w:rsid w:val="00A4778B"/>
    <w:rsid w:val="00A64FFE"/>
    <w:rsid w:val="00A67354"/>
    <w:rsid w:val="00A8408F"/>
    <w:rsid w:val="00A8545A"/>
    <w:rsid w:val="00A85768"/>
    <w:rsid w:val="00A86844"/>
    <w:rsid w:val="00A93A63"/>
    <w:rsid w:val="00A95FAE"/>
    <w:rsid w:val="00A9621F"/>
    <w:rsid w:val="00A9772D"/>
    <w:rsid w:val="00AA21FD"/>
    <w:rsid w:val="00AB3744"/>
    <w:rsid w:val="00AB3E5C"/>
    <w:rsid w:val="00AB5D10"/>
    <w:rsid w:val="00AC1487"/>
    <w:rsid w:val="00AC31E5"/>
    <w:rsid w:val="00AC5643"/>
    <w:rsid w:val="00AD031B"/>
    <w:rsid w:val="00AD35B6"/>
    <w:rsid w:val="00AE7DFB"/>
    <w:rsid w:val="00AF252B"/>
    <w:rsid w:val="00AF3F2A"/>
    <w:rsid w:val="00AF48F0"/>
    <w:rsid w:val="00AF4CE4"/>
    <w:rsid w:val="00B04D67"/>
    <w:rsid w:val="00B1430E"/>
    <w:rsid w:val="00B20381"/>
    <w:rsid w:val="00B22C9F"/>
    <w:rsid w:val="00B26A00"/>
    <w:rsid w:val="00B26D23"/>
    <w:rsid w:val="00B4348E"/>
    <w:rsid w:val="00B446DC"/>
    <w:rsid w:val="00B446F1"/>
    <w:rsid w:val="00B45F5C"/>
    <w:rsid w:val="00B4615A"/>
    <w:rsid w:val="00B63E67"/>
    <w:rsid w:val="00B6747B"/>
    <w:rsid w:val="00B7197C"/>
    <w:rsid w:val="00B81229"/>
    <w:rsid w:val="00B82787"/>
    <w:rsid w:val="00B82BBE"/>
    <w:rsid w:val="00B868C1"/>
    <w:rsid w:val="00B930BF"/>
    <w:rsid w:val="00BA01B2"/>
    <w:rsid w:val="00BA2EDA"/>
    <w:rsid w:val="00BA3B8D"/>
    <w:rsid w:val="00BA57C4"/>
    <w:rsid w:val="00BA5CF5"/>
    <w:rsid w:val="00BA70E1"/>
    <w:rsid w:val="00BB3A17"/>
    <w:rsid w:val="00BC1ABE"/>
    <w:rsid w:val="00BC59A3"/>
    <w:rsid w:val="00BD549E"/>
    <w:rsid w:val="00BD5AB7"/>
    <w:rsid w:val="00BD75C4"/>
    <w:rsid w:val="00BE14B5"/>
    <w:rsid w:val="00BE2590"/>
    <w:rsid w:val="00BF43BA"/>
    <w:rsid w:val="00BF5343"/>
    <w:rsid w:val="00C012D9"/>
    <w:rsid w:val="00C052EE"/>
    <w:rsid w:val="00C06DD9"/>
    <w:rsid w:val="00C10CCF"/>
    <w:rsid w:val="00C111B2"/>
    <w:rsid w:val="00C20634"/>
    <w:rsid w:val="00C2166F"/>
    <w:rsid w:val="00C225CF"/>
    <w:rsid w:val="00C27EFB"/>
    <w:rsid w:val="00C32CBB"/>
    <w:rsid w:val="00C36A98"/>
    <w:rsid w:val="00C42CBE"/>
    <w:rsid w:val="00C45880"/>
    <w:rsid w:val="00C508A6"/>
    <w:rsid w:val="00C5244F"/>
    <w:rsid w:val="00C57EB4"/>
    <w:rsid w:val="00C6575B"/>
    <w:rsid w:val="00C71CF3"/>
    <w:rsid w:val="00C7419D"/>
    <w:rsid w:val="00C81E84"/>
    <w:rsid w:val="00CA0080"/>
    <w:rsid w:val="00CB4ED1"/>
    <w:rsid w:val="00CB7BFA"/>
    <w:rsid w:val="00CC173B"/>
    <w:rsid w:val="00CD02FB"/>
    <w:rsid w:val="00CD775D"/>
    <w:rsid w:val="00CE02C1"/>
    <w:rsid w:val="00CF2E56"/>
    <w:rsid w:val="00CF6C48"/>
    <w:rsid w:val="00CF6F78"/>
    <w:rsid w:val="00CF753A"/>
    <w:rsid w:val="00D019CA"/>
    <w:rsid w:val="00D047B9"/>
    <w:rsid w:val="00D0686A"/>
    <w:rsid w:val="00D10F80"/>
    <w:rsid w:val="00D114AE"/>
    <w:rsid w:val="00D202B1"/>
    <w:rsid w:val="00D2357E"/>
    <w:rsid w:val="00D250A3"/>
    <w:rsid w:val="00D3141F"/>
    <w:rsid w:val="00D32CB9"/>
    <w:rsid w:val="00D43730"/>
    <w:rsid w:val="00D43F2D"/>
    <w:rsid w:val="00D44551"/>
    <w:rsid w:val="00D46290"/>
    <w:rsid w:val="00D47BB2"/>
    <w:rsid w:val="00D50CED"/>
    <w:rsid w:val="00D53862"/>
    <w:rsid w:val="00D53B43"/>
    <w:rsid w:val="00D56446"/>
    <w:rsid w:val="00D601E8"/>
    <w:rsid w:val="00D62CF7"/>
    <w:rsid w:val="00D70476"/>
    <w:rsid w:val="00D722BC"/>
    <w:rsid w:val="00D72611"/>
    <w:rsid w:val="00D755F6"/>
    <w:rsid w:val="00D77357"/>
    <w:rsid w:val="00D801CB"/>
    <w:rsid w:val="00D8388D"/>
    <w:rsid w:val="00D863DC"/>
    <w:rsid w:val="00D90FE6"/>
    <w:rsid w:val="00D962B3"/>
    <w:rsid w:val="00D97559"/>
    <w:rsid w:val="00D97AA0"/>
    <w:rsid w:val="00DA6D01"/>
    <w:rsid w:val="00DA7718"/>
    <w:rsid w:val="00DA7A3C"/>
    <w:rsid w:val="00DB020E"/>
    <w:rsid w:val="00DC3090"/>
    <w:rsid w:val="00DC71A7"/>
    <w:rsid w:val="00DD0AA5"/>
    <w:rsid w:val="00DD4207"/>
    <w:rsid w:val="00DD5A93"/>
    <w:rsid w:val="00DD74B0"/>
    <w:rsid w:val="00DE69C3"/>
    <w:rsid w:val="00DE742A"/>
    <w:rsid w:val="00DE7ECA"/>
    <w:rsid w:val="00DF4FBE"/>
    <w:rsid w:val="00DF7126"/>
    <w:rsid w:val="00E02008"/>
    <w:rsid w:val="00E02991"/>
    <w:rsid w:val="00E07282"/>
    <w:rsid w:val="00E0744B"/>
    <w:rsid w:val="00E07B91"/>
    <w:rsid w:val="00E132FD"/>
    <w:rsid w:val="00E14384"/>
    <w:rsid w:val="00E165F2"/>
    <w:rsid w:val="00E16EEA"/>
    <w:rsid w:val="00E178E8"/>
    <w:rsid w:val="00E21562"/>
    <w:rsid w:val="00E216B1"/>
    <w:rsid w:val="00E2406B"/>
    <w:rsid w:val="00E321FA"/>
    <w:rsid w:val="00E32905"/>
    <w:rsid w:val="00E3582D"/>
    <w:rsid w:val="00E41773"/>
    <w:rsid w:val="00E436A3"/>
    <w:rsid w:val="00E443C4"/>
    <w:rsid w:val="00E44CDE"/>
    <w:rsid w:val="00E45B89"/>
    <w:rsid w:val="00E55ABF"/>
    <w:rsid w:val="00E5780B"/>
    <w:rsid w:val="00E61B50"/>
    <w:rsid w:val="00E71693"/>
    <w:rsid w:val="00E716FD"/>
    <w:rsid w:val="00E77CCE"/>
    <w:rsid w:val="00E81B95"/>
    <w:rsid w:val="00E864BB"/>
    <w:rsid w:val="00E86FD5"/>
    <w:rsid w:val="00E871C0"/>
    <w:rsid w:val="00E87241"/>
    <w:rsid w:val="00E911B5"/>
    <w:rsid w:val="00E92D87"/>
    <w:rsid w:val="00E938A0"/>
    <w:rsid w:val="00E95E8A"/>
    <w:rsid w:val="00EA0CCB"/>
    <w:rsid w:val="00EA4674"/>
    <w:rsid w:val="00EB2590"/>
    <w:rsid w:val="00EB25EC"/>
    <w:rsid w:val="00EC0509"/>
    <w:rsid w:val="00EC1AFA"/>
    <w:rsid w:val="00EC7812"/>
    <w:rsid w:val="00ED6596"/>
    <w:rsid w:val="00EF37B8"/>
    <w:rsid w:val="00F11902"/>
    <w:rsid w:val="00F120A8"/>
    <w:rsid w:val="00F162F1"/>
    <w:rsid w:val="00F20B0A"/>
    <w:rsid w:val="00F23FE4"/>
    <w:rsid w:val="00F252DF"/>
    <w:rsid w:val="00F261F4"/>
    <w:rsid w:val="00F4079A"/>
    <w:rsid w:val="00F46F52"/>
    <w:rsid w:val="00F47B44"/>
    <w:rsid w:val="00F61E92"/>
    <w:rsid w:val="00F651F1"/>
    <w:rsid w:val="00F66CFB"/>
    <w:rsid w:val="00F7140F"/>
    <w:rsid w:val="00F8561D"/>
    <w:rsid w:val="00F85627"/>
    <w:rsid w:val="00F86678"/>
    <w:rsid w:val="00F87EA8"/>
    <w:rsid w:val="00F95654"/>
    <w:rsid w:val="00F97D76"/>
    <w:rsid w:val="00FA2A01"/>
    <w:rsid w:val="00FB1A41"/>
    <w:rsid w:val="00FC4E29"/>
    <w:rsid w:val="00FC7791"/>
    <w:rsid w:val="00FD32E1"/>
    <w:rsid w:val="00FD5814"/>
    <w:rsid w:val="00FD5930"/>
    <w:rsid w:val="00FE14DD"/>
    <w:rsid w:val="00FE18DF"/>
    <w:rsid w:val="00FE6C8F"/>
    <w:rsid w:val="00FE7ED0"/>
    <w:rsid w:val="00FF6FD6"/>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qFormat/>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character" w:customStyle="1" w:styleId="TALChar">
    <w:name w:val="TAL Char"/>
    <w:qFormat/>
    <w:rsid w:val="00443C69"/>
    <w:rPr>
      <w:rFonts w:ascii="Arial" w:eastAsia="MS Mincho" w:hAnsi="Arial" w:cs="Times New Roman"/>
      <w:kern w:val="0"/>
      <w:sz w:val="18"/>
      <w:szCs w:val="20"/>
      <w:lang w:val="en-GB" w:eastAsia="en-US"/>
    </w:rPr>
  </w:style>
  <w:style w:type="paragraph" w:customStyle="1" w:styleId="B3">
    <w:name w:val="B3"/>
    <w:basedOn w:val="31"/>
    <w:link w:val="B3Char"/>
    <w:qFormat/>
    <w:rsid w:val="00443C69"/>
    <w:pPr>
      <w:widowControl/>
      <w:overflowPunct w:val="0"/>
      <w:autoSpaceDE w:val="0"/>
      <w:autoSpaceDN w:val="0"/>
      <w:adjustRightInd w:val="0"/>
      <w:ind w:leftChars="0" w:left="1135" w:firstLineChars="0" w:hanging="284"/>
      <w:contextualSpacing w:val="0"/>
      <w:jc w:val="left"/>
      <w:textAlignment w:val="baseline"/>
    </w:pPr>
    <w:rPr>
      <w:rFonts w:eastAsia="Times New Roman" w:cs="Times New Roman"/>
      <w:kern w:val="0"/>
      <w:szCs w:val="24"/>
      <w:lang w:eastAsia="en-GB"/>
    </w:rPr>
  </w:style>
  <w:style w:type="paragraph" w:styleId="31">
    <w:name w:val="List 3"/>
    <w:basedOn w:val="a"/>
    <w:uiPriority w:val="99"/>
    <w:semiHidden/>
    <w:unhideWhenUsed/>
    <w:rsid w:val="00443C69"/>
    <w:pPr>
      <w:ind w:leftChars="400" w:left="100" w:hangingChars="200" w:hanging="200"/>
      <w:contextualSpacing/>
    </w:pPr>
  </w:style>
  <w:style w:type="paragraph" w:customStyle="1" w:styleId="B2">
    <w:name w:val="B2"/>
    <w:basedOn w:val="21"/>
    <w:link w:val="B2Char"/>
    <w:rsid w:val="00D43F2D"/>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Cs w:val="20"/>
      <w:lang w:val="en-GB" w:eastAsia="en-GB"/>
    </w:rPr>
  </w:style>
  <w:style w:type="character" w:customStyle="1" w:styleId="B2Char">
    <w:name w:val="B2 Char"/>
    <w:link w:val="B2"/>
    <w:qFormat/>
    <w:rsid w:val="00D43F2D"/>
    <w:rPr>
      <w:rFonts w:eastAsia="Times New Roman" w:cs="Times New Roman"/>
      <w:kern w:val="0"/>
      <w:szCs w:val="20"/>
      <w:lang w:val="en-GB" w:eastAsia="en-GB"/>
    </w:rPr>
  </w:style>
  <w:style w:type="character" w:customStyle="1" w:styleId="B3Char">
    <w:name w:val="B3 Char"/>
    <w:link w:val="B3"/>
    <w:qFormat/>
    <w:locked/>
    <w:rsid w:val="00D43F2D"/>
    <w:rPr>
      <w:rFonts w:eastAsia="Times New Roman" w:cs="Times New Roman"/>
      <w:kern w:val="0"/>
      <w:szCs w:val="24"/>
      <w:lang w:eastAsia="en-GB"/>
    </w:rPr>
  </w:style>
  <w:style w:type="paragraph" w:styleId="21">
    <w:name w:val="List 2"/>
    <w:basedOn w:val="a"/>
    <w:uiPriority w:val="99"/>
    <w:semiHidden/>
    <w:unhideWhenUsed/>
    <w:rsid w:val="00D43F2D"/>
    <w:pPr>
      <w:ind w:leftChars="200" w:left="100" w:hangingChars="200" w:hanging="200"/>
      <w:contextualSpacing/>
    </w:pPr>
  </w:style>
  <w:style w:type="paragraph" w:styleId="af5">
    <w:name w:val="Normal (Web)"/>
    <w:basedOn w:val="a"/>
    <w:uiPriority w:val="99"/>
    <w:semiHidden/>
    <w:unhideWhenUsed/>
    <w:rsid w:val="00866230"/>
    <w:pPr>
      <w:widowControl/>
      <w:spacing w:before="100" w:beforeAutospacing="1" w:after="100" w:afterAutospacing="1"/>
      <w:jc w:val="left"/>
    </w:pPr>
    <w:rPr>
      <w:rFonts w:ascii="宋体" w:eastAsia="宋体" w:hAnsi="宋体" w:cs="宋体"/>
      <w:kern w:val="0"/>
      <w:sz w:val="24"/>
      <w:szCs w:val="24"/>
    </w:rPr>
  </w:style>
  <w:style w:type="paragraph" w:styleId="TOC9">
    <w:name w:val="toc 9"/>
    <w:basedOn w:val="TOC8"/>
    <w:uiPriority w:val="39"/>
    <w:rsid w:val="00076321"/>
    <w:pPr>
      <w:keepNext/>
      <w:keepLines/>
      <w:tabs>
        <w:tab w:val="right" w:leader="dot" w:pos="9639"/>
      </w:tabs>
      <w:overflowPunct w:val="0"/>
      <w:autoSpaceDE w:val="0"/>
      <w:autoSpaceDN w:val="0"/>
      <w:adjustRightInd w:val="0"/>
      <w:spacing w:before="180"/>
      <w:ind w:leftChars="0" w:left="1418" w:right="425" w:hanging="1418"/>
      <w:jc w:val="left"/>
      <w:textAlignment w:val="baseline"/>
    </w:pPr>
    <w:rPr>
      <w:rFonts w:eastAsia="Times New Roman" w:cs="Times New Roman"/>
      <w:b/>
      <w:noProof/>
      <w:kern w:val="0"/>
      <w:sz w:val="22"/>
      <w:szCs w:val="20"/>
      <w:lang w:val="en-GB" w:eastAsia="ja-JP"/>
    </w:rPr>
  </w:style>
  <w:style w:type="paragraph" w:styleId="TOC8">
    <w:name w:val="toc 8"/>
    <w:basedOn w:val="a"/>
    <w:next w:val="a"/>
    <w:autoRedefine/>
    <w:uiPriority w:val="39"/>
    <w:semiHidden/>
    <w:unhideWhenUsed/>
    <w:rsid w:val="00076321"/>
    <w:pPr>
      <w:ind w:leftChars="1400" w:left="2940"/>
    </w:pPr>
  </w:style>
  <w:style w:type="paragraph" w:customStyle="1" w:styleId="TF">
    <w:name w:val="TF"/>
    <w:basedOn w:val="TH"/>
    <w:link w:val="TFChar"/>
    <w:qFormat/>
    <w:rsid w:val="00991B02"/>
    <w:pPr>
      <w:keepNext w:val="0"/>
      <w:spacing w:before="0" w:after="240"/>
    </w:pPr>
  </w:style>
  <w:style w:type="character" w:customStyle="1" w:styleId="TFChar">
    <w:name w:val="TF Char"/>
    <w:link w:val="TF"/>
    <w:qFormat/>
    <w:rsid w:val="00991B02"/>
    <w:rPr>
      <w:rFonts w:ascii="Arial" w:eastAsia="Times New Roman"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23960">
      <w:bodyDiv w:val="1"/>
      <w:marLeft w:val="0"/>
      <w:marRight w:val="0"/>
      <w:marTop w:val="0"/>
      <w:marBottom w:val="0"/>
      <w:divBdr>
        <w:top w:val="none" w:sz="0" w:space="0" w:color="auto"/>
        <w:left w:val="none" w:sz="0" w:space="0" w:color="auto"/>
        <w:bottom w:val="none" w:sz="0" w:space="0" w:color="auto"/>
        <w:right w:val="none" w:sz="0" w:space="0" w:color="auto"/>
      </w:divBdr>
      <w:divsChild>
        <w:div w:id="1184512697">
          <w:marLeft w:val="0"/>
          <w:marRight w:val="0"/>
          <w:marTop w:val="0"/>
          <w:marBottom w:val="0"/>
          <w:divBdr>
            <w:top w:val="none" w:sz="0" w:space="0" w:color="auto"/>
            <w:left w:val="none" w:sz="0" w:space="0" w:color="auto"/>
            <w:bottom w:val="none" w:sz="0" w:space="0" w:color="auto"/>
            <w:right w:val="none" w:sz="0" w:space="0" w:color="auto"/>
          </w:divBdr>
          <w:divsChild>
            <w:div w:id="1416323187">
              <w:marLeft w:val="0"/>
              <w:marRight w:val="0"/>
              <w:marTop w:val="0"/>
              <w:marBottom w:val="0"/>
              <w:divBdr>
                <w:top w:val="single" w:sz="6" w:space="0" w:color="FFFFFF"/>
                <w:left w:val="single" w:sz="6" w:space="0" w:color="FFFFFF"/>
                <w:bottom w:val="single" w:sz="6" w:space="0" w:color="FFFFFF"/>
                <w:right w:val="single" w:sz="6" w:space="0" w:color="FFFFFF"/>
              </w:divBdr>
              <w:divsChild>
                <w:div w:id="1095204438">
                  <w:marLeft w:val="0"/>
                  <w:marRight w:val="0"/>
                  <w:marTop w:val="0"/>
                  <w:marBottom w:val="0"/>
                  <w:divBdr>
                    <w:top w:val="none" w:sz="0" w:space="0" w:color="auto"/>
                    <w:left w:val="none" w:sz="0" w:space="0" w:color="auto"/>
                    <w:bottom w:val="none" w:sz="0" w:space="0" w:color="auto"/>
                    <w:right w:val="none" w:sz="0" w:space="0" w:color="auto"/>
                  </w:divBdr>
                  <w:divsChild>
                    <w:div w:id="211832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279474">
          <w:marLeft w:val="0"/>
          <w:marRight w:val="0"/>
          <w:marTop w:val="0"/>
          <w:marBottom w:val="0"/>
          <w:divBdr>
            <w:top w:val="none" w:sz="0" w:space="0" w:color="auto"/>
            <w:left w:val="none" w:sz="0" w:space="0" w:color="auto"/>
            <w:bottom w:val="none" w:sz="0" w:space="0" w:color="auto"/>
            <w:right w:val="none" w:sz="0" w:space="0" w:color="auto"/>
          </w:divBdr>
          <w:divsChild>
            <w:div w:id="551844868">
              <w:marLeft w:val="0"/>
              <w:marRight w:val="0"/>
              <w:marTop w:val="0"/>
              <w:marBottom w:val="0"/>
              <w:divBdr>
                <w:top w:val="none" w:sz="0" w:space="0" w:color="auto"/>
                <w:left w:val="none" w:sz="0" w:space="0" w:color="auto"/>
                <w:bottom w:val="none" w:sz="0" w:space="0" w:color="auto"/>
                <w:right w:val="none" w:sz="0" w:space="0" w:color="auto"/>
              </w:divBdr>
              <w:divsChild>
                <w:div w:id="720592026">
                  <w:marLeft w:val="0"/>
                  <w:marRight w:val="0"/>
                  <w:marTop w:val="0"/>
                  <w:marBottom w:val="0"/>
                  <w:divBdr>
                    <w:top w:val="none" w:sz="0" w:space="0" w:color="auto"/>
                    <w:left w:val="none" w:sz="0" w:space="0" w:color="auto"/>
                    <w:bottom w:val="none" w:sz="0" w:space="0" w:color="auto"/>
                    <w:right w:val="none" w:sz="0" w:space="0" w:color="auto"/>
                  </w:divBdr>
                  <w:divsChild>
                    <w:div w:id="176791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715543514">
      <w:bodyDiv w:val="1"/>
      <w:marLeft w:val="0"/>
      <w:marRight w:val="0"/>
      <w:marTop w:val="0"/>
      <w:marBottom w:val="0"/>
      <w:divBdr>
        <w:top w:val="none" w:sz="0" w:space="0" w:color="auto"/>
        <w:left w:val="none" w:sz="0" w:space="0" w:color="auto"/>
        <w:bottom w:val="none" w:sz="0" w:space="0" w:color="auto"/>
        <w:right w:val="none" w:sz="0" w:space="0" w:color="auto"/>
      </w:divBdr>
    </w:div>
    <w:div w:id="730731891">
      <w:bodyDiv w:val="1"/>
      <w:marLeft w:val="0"/>
      <w:marRight w:val="0"/>
      <w:marTop w:val="0"/>
      <w:marBottom w:val="0"/>
      <w:divBdr>
        <w:top w:val="none" w:sz="0" w:space="0" w:color="auto"/>
        <w:left w:val="none" w:sz="0" w:space="0" w:color="auto"/>
        <w:bottom w:val="none" w:sz="0" w:space="0" w:color="auto"/>
        <w:right w:val="none" w:sz="0" w:space="0" w:color="auto"/>
      </w:divBdr>
    </w:div>
    <w:div w:id="778913371">
      <w:bodyDiv w:val="1"/>
      <w:marLeft w:val="0"/>
      <w:marRight w:val="0"/>
      <w:marTop w:val="0"/>
      <w:marBottom w:val="0"/>
      <w:divBdr>
        <w:top w:val="none" w:sz="0" w:space="0" w:color="auto"/>
        <w:left w:val="none" w:sz="0" w:space="0" w:color="auto"/>
        <w:bottom w:val="none" w:sz="0" w:space="0" w:color="auto"/>
        <w:right w:val="none" w:sz="0" w:space="0" w:color="auto"/>
      </w:divBdr>
    </w:div>
    <w:div w:id="847449257">
      <w:bodyDiv w:val="1"/>
      <w:marLeft w:val="0"/>
      <w:marRight w:val="0"/>
      <w:marTop w:val="0"/>
      <w:marBottom w:val="0"/>
      <w:divBdr>
        <w:top w:val="none" w:sz="0" w:space="0" w:color="auto"/>
        <w:left w:val="none" w:sz="0" w:space="0" w:color="auto"/>
        <w:bottom w:val="none" w:sz="0" w:space="0" w:color="auto"/>
        <w:right w:val="none" w:sz="0" w:space="0" w:color="auto"/>
      </w:divBdr>
    </w:div>
    <w:div w:id="917054628">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372222432">
      <w:bodyDiv w:val="1"/>
      <w:marLeft w:val="0"/>
      <w:marRight w:val="0"/>
      <w:marTop w:val="0"/>
      <w:marBottom w:val="0"/>
      <w:divBdr>
        <w:top w:val="none" w:sz="0" w:space="0" w:color="auto"/>
        <w:left w:val="none" w:sz="0" w:space="0" w:color="auto"/>
        <w:bottom w:val="none" w:sz="0" w:space="0" w:color="auto"/>
        <w:right w:val="none" w:sz="0" w:space="0" w:color="auto"/>
      </w:divBdr>
    </w:div>
    <w:div w:id="1560364375">
      <w:bodyDiv w:val="1"/>
      <w:marLeft w:val="0"/>
      <w:marRight w:val="0"/>
      <w:marTop w:val="0"/>
      <w:marBottom w:val="0"/>
      <w:divBdr>
        <w:top w:val="none" w:sz="0" w:space="0" w:color="auto"/>
        <w:left w:val="none" w:sz="0" w:space="0" w:color="auto"/>
        <w:bottom w:val="none" w:sz="0" w:space="0" w:color="auto"/>
        <w:right w:val="none" w:sz="0" w:space="0" w:color="auto"/>
      </w:divBdr>
    </w:div>
    <w:div w:id="2027319603">
      <w:bodyDiv w:val="1"/>
      <w:marLeft w:val="0"/>
      <w:marRight w:val="0"/>
      <w:marTop w:val="0"/>
      <w:marBottom w:val="0"/>
      <w:divBdr>
        <w:top w:val="none" w:sz="0" w:space="0" w:color="auto"/>
        <w:left w:val="none" w:sz="0" w:space="0" w:color="auto"/>
        <w:bottom w:val="none" w:sz="0" w:space="0" w:color="auto"/>
        <w:right w:val="none" w:sz="0" w:space="0" w:color="auto"/>
      </w:divBdr>
    </w:div>
    <w:div w:id="2029016905">
      <w:bodyDiv w:val="1"/>
      <w:marLeft w:val="0"/>
      <w:marRight w:val="0"/>
      <w:marTop w:val="0"/>
      <w:marBottom w:val="0"/>
      <w:divBdr>
        <w:top w:val="none" w:sz="0" w:space="0" w:color="auto"/>
        <w:left w:val="none" w:sz="0" w:space="0" w:color="auto"/>
        <w:bottom w:val="none" w:sz="0" w:space="0" w:color="auto"/>
        <w:right w:val="none" w:sz="0" w:space="0" w:color="auto"/>
      </w:divBdr>
    </w:div>
    <w:div w:id="209154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9CF87-DB6C-4CBE-B598-9010A927A4B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C38EEC6-3EC5-4552-A96E-DC753674F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30203C-6ABF-4CE9-A9AE-F46F5D7C2A53}">
  <ds:schemaRefs>
    <ds:schemaRef ds:uri="http://schemas.microsoft.com/sharepoint/v3/contenttype/forms"/>
  </ds:schemaRefs>
</ds:datastoreItem>
</file>

<file path=customXml/itemProps4.xml><?xml version="1.0" encoding="utf-8"?>
<ds:datastoreItem xmlns:ds="http://schemas.openxmlformats.org/officeDocument/2006/customXml" ds:itemID="{8A86A589-84BA-4B5A-8D07-5089439D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Pages>
  <Words>873</Words>
  <Characters>4979</Characters>
  <Application>Microsoft Office Word</Application>
  <DocSecurity>0</DocSecurity>
  <Lines>41</Lines>
  <Paragraphs>11</Paragraphs>
  <ScaleCrop>false</ScaleCrop>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35</cp:revision>
  <dcterms:created xsi:type="dcterms:W3CDTF">2023-11-02T11:45:00Z</dcterms:created>
  <dcterms:modified xsi:type="dcterms:W3CDTF">2023-11-03T07:34:00Z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70742b066df40e0e98519c5b2e441f37bf2790c5d4a8dba88a8637f052cc21c2</vt:lpwstr>
  </property>
  <property fmtid="{D5CDD505-2E9C-101B-9397-08002B2CF9AE}" pid="3" name="ContentTypeId">
    <vt:lpwstr>0x01010057CC4845EE989D469C4AF99498678D58</vt:lpwstr>
  </property>
</Properties>
</file>